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court doesn’t </w:t>
      </w:r>
      <w:r>
        <w:rPr>
          <w:b/>
          <w:i w:val="0"/>
          <w:smallCaps w:val="0"/>
          <w:strike w:val="0"/>
          <w:sz w:val="26"/>
          <w:u w:val="none"/>
        </w:rPr>
        <w:t>listen to</w:t>
      </w:r>
      <w:r>
        <w:rPr>
          <w:b/>
          <w:i w:val="0"/>
          <w:smallCaps w:val="0"/>
          <w:strike w:val="0"/>
          <w:sz w:val="26"/>
          <w:u w:val="none"/>
        </w:rPr>
        <w:t xml:space="preserve"> the SG’s </w:t>
      </w:r>
      <w:r>
        <w:rPr>
          <w:b/>
          <w:i w:val="0"/>
          <w:smallCaps w:val="0"/>
          <w:strike w:val="0"/>
          <w:sz w:val="26"/>
          <w:u w:val="none"/>
        </w:rPr>
        <w:t>recommendation</w:t>
      </w:r>
      <w:r>
        <w:rPr>
          <w:b/>
          <w:i w:val="0"/>
          <w:smallCaps w:val="0"/>
          <w:strike w:val="0"/>
          <w:sz w:val="26"/>
          <w:u w:val="none"/>
        </w:rPr>
        <w:t xml:space="preserve">. </w:t>
      </w:r>
      <w:r>
        <w:rPr>
          <w:b/>
          <w:i w:val="0"/>
          <w:smallCaps w:val="0"/>
          <w:strike w:val="0"/>
          <w:sz w:val="26"/>
          <w:u w:val="none"/>
        </w:rPr>
        <w:t xml:space="preserve"> </w:t>
      </w:r>
    </w:p>
    <w:p>
      <w:pPr>
        <w:spacing w:after="80"/>
      </w:pPr>
      <w:r>
        <w:rPr>
          <w:b/>
          <w:i w:val="0"/>
          <w:smallCaps w:val="0"/>
          <w:strike w:val="0"/>
          <w:sz w:val="26"/>
          <w:u w:val="none"/>
        </w:rPr>
        <w:t>Winston et al ’1</w:t>
      </w:r>
      <w:r>
        <w:rPr>
          <w:b/>
          <w:i w:val="0"/>
          <w:smallCaps w:val="0"/>
          <w:strike w:val="0"/>
          <w:sz w:val="26"/>
          <w:u w:val="none"/>
        </w:rPr>
        <w:t>5</w:t>
      </w:r>
      <w:r>
        <w:rPr>
          <w:b w:val="0"/>
          <w:i w:val="0"/>
          <w:smallCaps w:val="0"/>
          <w:strike w:val="0"/>
          <w:u w:val="none"/>
        </w:rPr>
        <w:t xml:space="preserve"> [Clifford, Jia Yan, Quentin </w:t>
      </w:r>
      <w:r>
        <w:rPr>
          <w:b w:val="0"/>
          <w:i w:val="0"/>
          <w:smallCaps w:val="0"/>
          <w:strike w:val="0"/>
          <w:u w:val="none"/>
        </w:rPr>
        <w:t>Karpilow</w:t>
      </w:r>
      <w:r>
        <w:rPr>
          <w:b w:val="0"/>
          <w:i w:val="0"/>
          <w:smallCaps w:val="0"/>
          <w:strike w:val="0"/>
          <w:u w:val="none"/>
        </w:rPr>
        <w:t xml:space="preserve">; </w:t>
      </w:r>
      <w:r>
        <w:rPr>
          <w:b w:val="0"/>
          <w:i w:val="0"/>
          <w:smallCaps w:val="0"/>
          <w:strike w:val="0"/>
          <w:u w:val="none"/>
        </w:rPr>
        <w:t>February</w:t>
      </w:r>
      <w:r>
        <w:rPr>
          <w:b w:val="0"/>
          <w:i w:val="0"/>
          <w:smallCaps w:val="0"/>
          <w:strike w:val="0"/>
          <w:u w:val="none"/>
        </w:rPr>
        <w:t xml:space="preserve">; Senior Fellow in the Brookings Institution’s Economic Studies program, Ph.D. in economics from U.C. Berkeley; “Comparing the Roberts and Rehnquist Courts’ Ideological Preferences Toward Business Accounting for Case Selection,” </w:t>
      </w:r>
      <w:r>
        <w:rPr>
          <w:b w:val="0"/>
          <w:i w:val="0"/>
          <w:smallCaps w:val="0"/>
          <w:strike w:val="0"/>
          <w:u w:val="none"/>
        </w:rPr>
        <w:t>https://s3.wp.wsu.edu/uploads/sites/308/2015/04/Behavioral-Political-Economy.pdf</w:t>
      </w:r>
      <w:r>
        <w:rPr>
          <w:b w:val="0"/>
          <w:i w:val="0"/>
          <w:smallCaps w:val="0"/>
          <w:strike w:val="0"/>
          <w:u w:val="none"/>
        </w:rPr>
        <w:t xml:space="preserve">] </w:t>
      </w:r>
      <w:r>
        <w:rPr>
          <w:b w:val="0"/>
          <w:i w:val="0"/>
          <w:smallCaps w:val="0"/>
          <w:strike w:val="0"/>
          <w:u w:val="none"/>
        </w:rPr>
        <w:t>dedeepya</w:t>
      </w:r>
    </w:p>
    <w:p>
      <w:pPr>
        <w:spacing w:after="60"/>
      </w:pPr>
      <w:r>
        <w:rPr>
          <w:b w:val="0"/>
          <w:i w:val="0"/>
          <w:smallCaps w:val="0"/>
          <w:strike w:val="0"/>
          <w:sz w:val="16"/>
          <w:u w:val="none"/>
        </w:rPr>
        <w:t xml:space="preserve">On rare occasions, the </w:t>
      </w:r>
      <w:r>
        <w:rPr>
          <w:b/>
          <w:i w:val="0"/>
          <w:smallCaps w:val="0"/>
          <w:strike w:val="0"/>
          <w:sz w:val="22"/>
          <w:u w:val="single"/>
        </w:rPr>
        <w:t xml:space="preserve">Court will solicit the </w:t>
      </w:r>
      <w:r>
        <w:rPr>
          <w:b/>
          <w:i w:val="0"/>
          <w:smallCaps w:val="0"/>
          <w:strike w:val="0"/>
          <w:sz w:val="22"/>
          <w:u w:val="single"/>
        </w:rPr>
        <w:t>perspective</w:t>
      </w:r>
      <w:r>
        <w:rPr>
          <w:b/>
          <w:i w:val="0"/>
          <w:smallCaps w:val="0"/>
          <w:strike w:val="0"/>
          <w:sz w:val="22"/>
          <w:u w:val="single"/>
        </w:rPr>
        <w:t xml:space="preserve"> of the </w:t>
      </w:r>
      <w:r>
        <w:rPr>
          <w:b/>
          <w:i w:val="0"/>
          <w:smallCaps w:val="0"/>
          <w:strike w:val="0"/>
          <w:sz w:val="22"/>
          <w:u w:val="single"/>
        </w:rPr>
        <w:t>SG’s Office</w:t>
      </w:r>
      <w:r>
        <w:rPr>
          <w:b/>
          <w:i w:val="0"/>
          <w:smallCaps w:val="0"/>
          <w:strike w:val="0"/>
          <w:sz w:val="22"/>
          <w:u w:val="single"/>
        </w:rPr>
        <w:t xml:space="preserve"> on the </w:t>
      </w:r>
      <w:r>
        <w:rPr>
          <w:b/>
          <w:i w:val="0"/>
          <w:smallCaps w:val="0"/>
          <w:strike w:val="0"/>
          <w:sz w:val="22"/>
          <w:u w:val="single"/>
        </w:rPr>
        <w:t>certworthiness</w:t>
      </w:r>
      <w:r>
        <w:rPr>
          <w:b/>
          <w:i w:val="0"/>
          <w:smallCaps w:val="0"/>
          <w:strike w:val="0"/>
          <w:sz w:val="22"/>
          <w:u w:val="single"/>
        </w:rPr>
        <w:t xml:space="preserve"> of a petition</w:t>
      </w:r>
      <w:r>
        <w:rPr>
          <w:b w:val="0"/>
          <w:i w:val="0"/>
          <w:smallCaps w:val="0"/>
          <w:strike w:val="0"/>
          <w:sz w:val="16"/>
          <w:u w:val="none"/>
        </w:rPr>
        <w:t xml:space="preserve"> through a call for the views of the Solicitor General (CVSG). Extant research suggests that the CVSG is another information-gathering tool that the Court uses to take advantage of the SG’s independence and objectivity (Days (1994), and unmatched expertise in federal policy and complex regulatory matters. For example, Thompson and </w:t>
      </w:r>
      <w:r>
        <w:rPr>
          <w:b w:val="0"/>
          <w:i w:val="0"/>
          <w:smallCaps w:val="0"/>
          <w:strike w:val="0"/>
          <w:sz w:val="16"/>
          <w:u w:val="none"/>
        </w:rPr>
        <w:t>Wachtell</w:t>
      </w:r>
      <w:r>
        <w:rPr>
          <w:b w:val="0"/>
          <w:i w:val="0"/>
          <w:smallCaps w:val="0"/>
          <w:strike w:val="0"/>
          <w:sz w:val="16"/>
          <w:u w:val="none"/>
        </w:rPr>
        <w:t xml:space="preserve"> (2009) find </w:t>
      </w:r>
      <w:r>
        <w:rPr>
          <w:b/>
          <w:i w:val="0"/>
          <w:smallCaps w:val="0"/>
          <w:strike w:val="0"/>
          <w:sz w:val="22"/>
          <w:u w:val="single"/>
        </w:rPr>
        <w:t xml:space="preserve">that </w:t>
      </w:r>
      <w:r>
        <w:rPr>
          <w:b/>
          <w:i w:val="0"/>
          <w:smallCaps w:val="0"/>
          <w:strike w:val="0"/>
          <w:sz w:val="22"/>
          <w:u w:val="single"/>
        </w:rPr>
        <w:t>91% of the CVSG cases</w:t>
      </w:r>
      <w:r>
        <w:rPr>
          <w:b/>
          <w:i w:val="0"/>
          <w:smallCaps w:val="0"/>
          <w:strike w:val="0"/>
          <w:sz w:val="22"/>
          <w:u w:val="single"/>
        </w:rPr>
        <w:t xml:space="preserve"> reviewed between 1997 and 2004 involved </w:t>
      </w:r>
      <w:r>
        <w:rPr>
          <w:b/>
          <w:i w:val="0"/>
          <w:smallCaps w:val="0"/>
          <w:strike w:val="0"/>
          <w:sz w:val="22"/>
          <w:u w:val="single"/>
        </w:rPr>
        <w:t>complex regulatory</w:t>
      </w:r>
      <w:r>
        <w:rPr>
          <w:b/>
          <w:i w:val="0"/>
          <w:smallCaps w:val="0"/>
          <w:strike w:val="0"/>
          <w:sz w:val="22"/>
          <w:u w:val="single"/>
        </w:rPr>
        <w:t xml:space="preserve"> and statutory schemes, while only 7% involved significant issues of constitutional law. </w:t>
      </w:r>
      <w:r>
        <w:rPr>
          <w:b w:val="0"/>
          <w:i w:val="0"/>
          <w:smallCaps w:val="0"/>
          <w:strike w:val="0"/>
          <w:sz w:val="16"/>
          <w:u w:val="none"/>
        </w:rPr>
        <w:t xml:space="preserve">This statistical breakdown is consistent with the Justices’ competence in dealing with questions of constitutionality, their relative unfamiliarity with regulatory systems, and the SG’s obvious comparative advantage in advising the Court on issues related to federal regulation. The authors also observe that, </w:t>
      </w:r>
      <w:r>
        <w:rPr>
          <w:b/>
          <w:i w:val="0"/>
          <w:smallCaps w:val="0"/>
          <w:strike w:val="0"/>
          <w:sz w:val="22"/>
          <w:u w:val="single"/>
        </w:rPr>
        <w:t xml:space="preserve">although the </w:t>
      </w:r>
      <w:r>
        <w:rPr>
          <w:b/>
          <w:i w:val="0"/>
          <w:smallCaps w:val="0"/>
          <w:strike w:val="0"/>
          <w:sz w:val="22"/>
          <w:u w:val="single"/>
        </w:rPr>
        <w:t>SG’s response</w:t>
      </w:r>
      <w:r>
        <w:rPr>
          <w:b/>
          <w:i w:val="0"/>
          <w:smallCaps w:val="0"/>
          <w:strike w:val="0"/>
          <w:sz w:val="22"/>
          <w:u w:val="single"/>
        </w:rPr>
        <w:t xml:space="preserve"> to a CVSG is almost always accompanied with a </w:t>
      </w:r>
      <w:r>
        <w:rPr>
          <w:b/>
          <w:i w:val="0"/>
          <w:smallCaps w:val="0"/>
          <w:strike w:val="0"/>
          <w:sz w:val="22"/>
          <w:u w:val="single"/>
        </w:rPr>
        <w:t>suggestion</w:t>
      </w:r>
      <w:r>
        <w:rPr>
          <w:b/>
          <w:i w:val="0"/>
          <w:smallCaps w:val="0"/>
          <w:strike w:val="0"/>
          <w:sz w:val="22"/>
          <w:u w:val="single"/>
        </w:rPr>
        <w:t xml:space="preserve"> for how the Court should rule on the case</w:t>
      </w:r>
      <w:r>
        <w:rPr>
          <w:b w:val="0"/>
          <w:i w:val="0"/>
          <w:smallCaps w:val="0"/>
          <w:strike w:val="0"/>
          <w:sz w:val="16"/>
          <w:u w:val="none"/>
        </w:rPr>
        <w:t xml:space="preserve"> (assuming the petition is accepted), the </w:t>
      </w:r>
      <w:r>
        <w:rPr>
          <w:b/>
          <w:i w:val="0"/>
          <w:smallCaps w:val="0"/>
          <w:strike w:val="0"/>
          <w:sz w:val="22"/>
          <w:u w:val="single"/>
        </w:rPr>
        <w:t>Court’s ultimate decision</w:t>
      </w:r>
      <w:r>
        <w:rPr>
          <w:b w:val="0"/>
          <w:i w:val="0"/>
          <w:smallCaps w:val="0"/>
          <w:strike w:val="0"/>
          <w:sz w:val="16"/>
          <w:u w:val="none"/>
        </w:rPr>
        <w:t xml:space="preserve"> on the merits </w:t>
      </w:r>
      <w:r>
        <w:rPr>
          <w:b/>
          <w:i w:val="0"/>
          <w:smallCaps w:val="0"/>
          <w:strike w:val="0"/>
          <w:sz w:val="22"/>
          <w:u w:val="single"/>
        </w:rPr>
        <w:t xml:space="preserve">is </w:t>
      </w:r>
      <w:r>
        <w:rPr>
          <w:b/>
          <w:i w:val="0"/>
          <w:smallCaps w:val="0"/>
          <w:strike w:val="0"/>
          <w:sz w:val="22"/>
          <w:u w:val="single"/>
        </w:rPr>
        <w:t>uncorrelated</w:t>
      </w:r>
      <w:r>
        <w:rPr>
          <w:b/>
          <w:i w:val="0"/>
          <w:smallCaps w:val="0"/>
          <w:strike w:val="0"/>
          <w:sz w:val="22"/>
          <w:u w:val="single"/>
        </w:rPr>
        <w:t xml:space="preserve"> with the </w:t>
      </w:r>
      <w:r>
        <w:rPr>
          <w:b/>
          <w:i w:val="0"/>
          <w:smallCaps w:val="0"/>
          <w:strike w:val="0"/>
          <w:sz w:val="22"/>
          <w:u w:val="single"/>
        </w:rPr>
        <w:t>SG’s recommendations</w:t>
      </w:r>
      <w:r>
        <w:rPr>
          <w:b w:val="0"/>
          <w:i w:val="0"/>
          <w:smallCaps w:val="0"/>
          <w:strike w:val="0"/>
          <w:sz w:val="16"/>
          <w:u w:val="none"/>
        </w:rPr>
        <w:t xml:space="preserve">. Finally, Thompson and </w:t>
      </w:r>
      <w:r>
        <w:rPr>
          <w:b w:val="0"/>
          <w:i w:val="0"/>
          <w:smallCaps w:val="0"/>
          <w:strike w:val="0"/>
          <w:sz w:val="16"/>
          <w:u w:val="none"/>
        </w:rPr>
        <w:t>Wachtell</w:t>
      </w:r>
      <w:r>
        <w:rPr>
          <w:b w:val="0"/>
          <w:i w:val="0"/>
          <w:smallCaps w:val="0"/>
          <w:strike w:val="0"/>
          <w:sz w:val="16"/>
          <w:u w:val="none"/>
        </w:rPr>
        <w:t xml:space="preserve"> point to a plethora of </w:t>
      </w:r>
      <w:r>
        <w:rPr>
          <w:b/>
          <w:i w:val="0"/>
          <w:smallCaps w:val="0"/>
          <w:strike w:val="0"/>
          <w:sz w:val="22"/>
          <w:u w:val="single"/>
        </w:rPr>
        <w:t>anecdotal evidence</w:t>
      </w:r>
      <w:r>
        <w:rPr>
          <w:b w:val="0"/>
          <w:i w:val="0"/>
          <w:smallCaps w:val="0"/>
          <w:strike w:val="0"/>
          <w:sz w:val="16"/>
          <w:u w:val="none"/>
        </w:rPr>
        <w:t xml:space="preserve"> that </w:t>
      </w:r>
      <w:r>
        <w:rPr>
          <w:b/>
          <w:i w:val="0"/>
          <w:smallCaps w:val="0"/>
          <w:strike w:val="0"/>
          <w:sz w:val="22"/>
          <w:u w:val="single"/>
        </w:rPr>
        <w:t xml:space="preserve">decouples the CSVG from any </w:t>
      </w:r>
      <w:r>
        <w:rPr>
          <w:b/>
          <w:i w:val="0"/>
          <w:smallCaps w:val="0"/>
          <w:strike w:val="0"/>
          <w:sz w:val="22"/>
          <w:u w:val="single"/>
        </w:rPr>
        <w:t>political motivations</w:t>
      </w:r>
      <w:r>
        <w:rPr>
          <w:b w:val="0"/>
          <w:i w:val="0"/>
          <w:smallCaps w:val="0"/>
          <w:strike w:val="0"/>
          <w:sz w:val="16"/>
          <w:u w:val="none"/>
        </w:rPr>
        <w:t xml:space="preserve">, further </w:t>
      </w:r>
      <w:r>
        <w:rPr>
          <w:b/>
          <w:i w:val="0"/>
          <w:smallCaps w:val="0"/>
          <w:strike w:val="0"/>
          <w:sz w:val="22"/>
          <w:u w:val="single"/>
        </w:rPr>
        <w:t>supporting</w:t>
      </w:r>
      <w:r>
        <w:rPr>
          <w:b w:val="0"/>
          <w:i w:val="0"/>
          <w:smallCaps w:val="0"/>
          <w:strike w:val="0"/>
          <w:sz w:val="16"/>
          <w:u w:val="none"/>
        </w:rPr>
        <w:t xml:space="preserve"> our </w:t>
      </w:r>
      <w:r>
        <w:rPr>
          <w:b/>
          <w:i w:val="0"/>
          <w:smallCaps w:val="0"/>
          <w:strike w:val="0"/>
          <w:sz w:val="22"/>
          <w:u w:val="single"/>
        </w:rPr>
        <w:t xml:space="preserve">treatment of the CSVG indicator as </w:t>
      </w:r>
      <w:r>
        <w:rPr>
          <w:b/>
          <w:i w:val="0"/>
          <w:smallCaps w:val="0"/>
          <w:strike w:val="0"/>
          <w:sz w:val="22"/>
          <w:u w:val="single"/>
        </w:rPr>
        <w:t>exogenous</w:t>
      </w:r>
      <w:r>
        <w:rPr>
          <w:b/>
          <w:i w:val="0"/>
          <w:smallCaps w:val="0"/>
          <w:strike w:val="0"/>
          <w:sz w:val="22"/>
          <w:u w:val="single"/>
        </w:rPr>
        <w:t xml:space="preserve"> to the final votes in</w:t>
      </w:r>
      <w:r>
        <w:rPr>
          <w:b w:val="0"/>
          <w:i w:val="0"/>
          <w:smallCaps w:val="0"/>
          <w:strike w:val="0"/>
          <w:sz w:val="16"/>
          <w:u w:val="none"/>
        </w:rPr>
        <w:t xml:space="preserve"> our </w:t>
      </w:r>
      <w:r>
        <w:rPr>
          <w:b/>
          <w:i w:val="0"/>
          <w:smallCaps w:val="0"/>
          <w:strike w:val="0"/>
          <w:sz w:val="22"/>
          <w:u w:val="single"/>
        </w:rPr>
        <w:t>case-</w:t>
      </w:r>
      <w:r>
        <w:rPr>
          <w:b/>
          <w:i w:val="0"/>
          <w:smallCaps w:val="0"/>
          <w:strike w:val="0"/>
          <w:sz w:val="22"/>
          <w:u w:val="single"/>
        </w:rPr>
        <w:t>outcomes model.</w:t>
      </w:r>
      <w:r>
        <w:rPr>
          <w:b w:val="0"/>
          <w:i w:val="0"/>
          <w:smallCaps w:val="0"/>
          <w:strike w:val="0"/>
          <w:sz w:val="16"/>
          <w:u w:val="none"/>
        </w:rPr>
        <w:t xml:space="preserve"> 27</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