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Solicitor General says no---</w:t>
      </w:r>
      <w:r>
        <w:rPr>
          <w:b w:val="0"/>
          <w:i w:val="0"/>
          <w:smallCaps w:val="0"/>
          <w:strike w:val="0"/>
          <w:sz w:val="26"/>
          <w:u w:val="none"/>
        </w:rPr>
        <w:t>Myriad proves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Guigliuzza</w:t>
      </w:r>
      <w:r>
        <w:rPr>
          <w:b/>
          <w:i w:val="0"/>
          <w:smallCaps w:val="0"/>
          <w:strike w:val="0"/>
          <w:sz w:val="26"/>
          <w:u w:val="none"/>
        </w:rPr>
        <w:t xml:space="preserve"> &amp; Koivula 23</w:t>
      </w:r>
      <w:r>
        <w:rPr>
          <w:b w:val="0"/>
          <w:i w:val="0"/>
          <w:smallCaps w:val="0"/>
          <w:strike w:val="0"/>
          <w:u w:val="none"/>
        </w:rPr>
        <w:t xml:space="preserve"> [Paul, Pyry; 2023; Professor of Law at Temple University James E. Beasley School of Law, Research Assistant at Temple University James E. Beasley School of Law; SSRN, “Stepping out of the Solicitor General's Shadow: The Federal Circuit and the Supreme Court in a New Era of Patent Law,” </w:t>
      </w:r>
      <w:r>
        <w:rPr>
          <w:b w:val="0"/>
          <w:i w:val="0"/>
          <w:smallCaps w:val="0"/>
          <w:strike w:val="0"/>
          <w:u w:val="none"/>
        </w:rPr>
        <w:t>https://papers.ssrn.com/sol3/papers.cfm?abstract_id=4178110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disparities in outcomes raise the question of: why? Why is the SG more than twice as successful at persuading the Court when it is an amicus in a patent case as compared to when it is a party? For starters, the roles are inherently different. </w:t>
      </w:r>
      <w:r>
        <w:rPr>
          <w:b/>
          <w:i w:val="0"/>
          <w:smallCaps w:val="0"/>
          <w:strike w:val="0"/>
          <w:sz w:val="22"/>
          <w:u w:val="single"/>
        </w:rPr>
        <w:t xml:space="preserve">When the SG is an </w:t>
      </w:r>
      <w:r>
        <w:rPr>
          <w:b/>
          <w:i w:val="0"/>
          <w:smallCaps w:val="0"/>
          <w:strike w:val="0"/>
          <w:sz w:val="22"/>
          <w:u w:val="single"/>
        </w:rPr>
        <w:t>amicus</w:t>
      </w:r>
      <w:r>
        <w:rPr>
          <w:b/>
          <w:i w:val="0"/>
          <w:smallCaps w:val="0"/>
          <w:strike w:val="0"/>
          <w:sz w:val="22"/>
          <w:u w:val="single"/>
        </w:rPr>
        <w:t>, it adopts the role of a “</w:t>
      </w:r>
      <w:r>
        <w:rPr>
          <w:b/>
          <w:i w:val="0"/>
          <w:smallCaps w:val="0"/>
          <w:strike w:val="0"/>
          <w:sz w:val="22"/>
          <w:u w:val="single"/>
        </w:rPr>
        <w:t>mediator”</w:t>
      </w:r>
      <w:r>
        <w:rPr>
          <w:b/>
          <w:i w:val="0"/>
          <w:smallCaps w:val="0"/>
          <w:strike w:val="0"/>
          <w:sz w:val="22"/>
          <w:u w:val="single"/>
        </w:rPr>
        <w:t xml:space="preserve"> or “advisor” to the Supreme Court and is expected to take the “long 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,”188 even sometimes presenting arguments that contravene the practices of the federal government. </w:t>
      </w:r>
      <w:r>
        <w:rPr>
          <w:b/>
          <w:i w:val="0"/>
          <w:smallCaps w:val="0"/>
          <w:strike w:val="0"/>
          <w:sz w:val="22"/>
          <w:u w:val="single"/>
        </w:rPr>
        <w:t xml:space="preserve">For instance, in </w:t>
      </w:r>
      <w:r>
        <w:rPr>
          <w:b/>
          <w:i w:val="0"/>
          <w:smallCaps w:val="0"/>
          <w:strike w:val="0"/>
          <w:sz w:val="22"/>
          <w:u w:val="single"/>
        </w:rPr>
        <w:t>Ass’n</w:t>
      </w:r>
      <w:r>
        <w:rPr>
          <w:b/>
          <w:i w:val="0"/>
          <w:smallCaps w:val="0"/>
          <w:strike w:val="0"/>
          <w:sz w:val="22"/>
          <w:u w:val="single"/>
        </w:rPr>
        <w:t xml:space="preserve"> for Molecular Pathology v. </w:t>
      </w:r>
      <w:r>
        <w:rPr>
          <w:b/>
          <w:i w:val="0"/>
          <w:smallCaps w:val="0"/>
          <w:strike w:val="0"/>
          <w:sz w:val="22"/>
          <w:u w:val="single"/>
        </w:rPr>
        <w:t>Myriad Genetics</w:t>
      </w:r>
      <w:r>
        <w:rPr>
          <w:b/>
          <w:i w:val="0"/>
          <w:smallCaps w:val="0"/>
          <w:strike w:val="0"/>
          <w:sz w:val="22"/>
          <w:u w:val="single"/>
        </w:rPr>
        <w:t xml:space="preserve">, Inc., 189 the </w:t>
      </w:r>
      <w:r>
        <w:rPr>
          <w:b/>
          <w:i w:val="0"/>
          <w:smallCaps w:val="0"/>
          <w:strike w:val="0"/>
          <w:sz w:val="22"/>
          <w:u w:val="single"/>
        </w:rPr>
        <w:t>SG’s position</w:t>
      </w:r>
      <w:r>
        <w:rPr>
          <w:b w:val="0"/>
          <w:i w:val="0"/>
          <w:smallCaps w:val="0"/>
          <w:strike w:val="0"/>
          <w:sz w:val="16"/>
          <w:u w:val="none"/>
        </w:rPr>
        <w:t>—which the Supreme Court ultimately adopted—</w:t>
      </w:r>
      <w:r>
        <w:rPr>
          <w:b/>
          <w:i w:val="0"/>
          <w:smallCaps w:val="0"/>
          <w:strike w:val="0"/>
          <w:sz w:val="22"/>
          <w:u w:val="single"/>
        </w:rPr>
        <w:t xml:space="preserve">was that isolated DNA is </w:t>
      </w:r>
      <w:r>
        <w:rPr>
          <w:b/>
          <w:i w:val="0"/>
          <w:smallCaps w:val="0"/>
          <w:strike w:val="0"/>
          <w:sz w:val="22"/>
          <w:u w:val="single"/>
        </w:rPr>
        <w:t>not patent-eligible subject matter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it is a “natural phenomenon” but that artificially created DNA sequences (</w:t>
      </w:r>
      <w:r>
        <w:rPr>
          <w:b w:val="0"/>
          <w:i w:val="0"/>
          <w:smallCaps w:val="0"/>
          <w:strike w:val="0"/>
          <w:sz w:val="16"/>
          <w:u w:val="none"/>
        </w:rPr>
        <w:t>socalled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cDNA) are sufficiently man-made to be patent eligible.190 </w:t>
      </w:r>
      <w:r>
        <w:rPr>
          <w:b/>
          <w:i w:val="0"/>
          <w:smallCaps w:val="0"/>
          <w:strike w:val="0"/>
          <w:sz w:val="22"/>
          <w:u w:val="single"/>
        </w:rPr>
        <w:t xml:space="preserve">In its brief, the </w:t>
      </w:r>
      <w:r>
        <w:rPr>
          <w:b/>
          <w:i w:val="0"/>
          <w:smallCaps w:val="0"/>
          <w:strike w:val="0"/>
          <w:sz w:val="22"/>
          <w:u w:val="single"/>
        </w:rPr>
        <w:t>SG explained</w:t>
      </w:r>
      <w:r>
        <w:rPr>
          <w:b/>
          <w:i w:val="0"/>
          <w:smallCaps w:val="0"/>
          <w:strike w:val="0"/>
          <w:sz w:val="22"/>
          <w:u w:val="single"/>
        </w:rPr>
        <w:t xml:space="preserve"> that, though the </w:t>
      </w:r>
      <w:r>
        <w:rPr>
          <w:b/>
          <w:i w:val="0"/>
          <w:smallCaps w:val="0"/>
          <w:strike w:val="0"/>
          <w:sz w:val="22"/>
          <w:u w:val="single"/>
        </w:rPr>
        <w:t>Patent Office</w:t>
      </w:r>
      <w:r>
        <w:rPr>
          <w:b/>
          <w:i w:val="0"/>
          <w:smallCaps w:val="0"/>
          <w:strike w:val="0"/>
          <w:sz w:val="22"/>
          <w:u w:val="single"/>
        </w:rPr>
        <w:t xml:space="preserve"> had been issuing patents on </w:t>
      </w:r>
      <w:r>
        <w:rPr>
          <w:b/>
          <w:i w:val="0"/>
          <w:smallCaps w:val="0"/>
          <w:strike w:val="0"/>
          <w:sz w:val="22"/>
          <w:u w:val="single"/>
        </w:rPr>
        <w:t>isolated DNA</w:t>
      </w:r>
      <w:r>
        <w:rPr>
          <w:b/>
          <w:i w:val="0"/>
          <w:smallCaps w:val="0"/>
          <w:strike w:val="0"/>
          <w:sz w:val="22"/>
          <w:u w:val="single"/>
        </w:rPr>
        <w:t xml:space="preserve"> for several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litigation</w:t>
      </w:r>
      <w:r>
        <w:rPr>
          <w:b/>
          <w:i w:val="0"/>
          <w:smallCaps w:val="0"/>
          <w:strike w:val="0"/>
          <w:sz w:val="22"/>
          <w:u w:val="single"/>
        </w:rPr>
        <w:t xml:space="preserve"> had “prompted the United States to </w:t>
      </w:r>
      <w:r>
        <w:rPr>
          <w:b/>
          <w:i w:val="0"/>
          <w:smallCaps w:val="0"/>
          <w:strike w:val="0"/>
          <w:sz w:val="22"/>
          <w:u w:val="single"/>
        </w:rPr>
        <w:t>reevaluate</w:t>
      </w:r>
      <w:r>
        <w:rPr>
          <w:b/>
          <w:i w:val="0"/>
          <w:smallCaps w:val="0"/>
          <w:strike w:val="0"/>
          <w:sz w:val="22"/>
          <w:u w:val="single"/>
        </w:rPr>
        <w:t xml:space="preserve"> whether such </w:t>
      </w:r>
      <w:r>
        <w:rPr>
          <w:b/>
          <w:i w:val="0"/>
          <w:smallCaps w:val="0"/>
          <w:strike w:val="0"/>
          <w:sz w:val="22"/>
          <w:u w:val="single"/>
        </w:rPr>
        <w:t>patents</w:t>
      </w:r>
      <w:r>
        <w:rPr>
          <w:b/>
          <w:i w:val="0"/>
          <w:smallCaps w:val="0"/>
          <w:strike w:val="0"/>
          <w:sz w:val="22"/>
          <w:u w:val="single"/>
        </w:rPr>
        <w:t xml:space="preserve"> are consistent with the </w:t>
      </w:r>
      <w:r>
        <w:rPr>
          <w:b/>
          <w:i w:val="0"/>
          <w:smallCaps w:val="0"/>
          <w:strike w:val="0"/>
          <w:sz w:val="22"/>
          <w:u w:val="single"/>
        </w:rPr>
        <w:t>settled principle</w:t>
      </w:r>
      <w:r>
        <w:rPr>
          <w:b/>
          <w:i w:val="0"/>
          <w:smallCaps w:val="0"/>
          <w:strike w:val="0"/>
          <w:sz w:val="22"/>
          <w:u w:val="single"/>
        </w:rPr>
        <w:t xml:space="preserve"> that patent protection does not extend to </w:t>
      </w:r>
      <w:r>
        <w:rPr>
          <w:b/>
          <w:i w:val="0"/>
          <w:smallCaps w:val="0"/>
          <w:strike w:val="0"/>
          <w:sz w:val="22"/>
          <w:u w:val="single"/>
        </w:rPr>
        <w:t>products of nature</w:t>
      </w:r>
      <w:r>
        <w:rPr>
          <w:b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that, “[</w:t>
      </w:r>
      <w:r>
        <w:rPr>
          <w:b/>
          <w:i w:val="0"/>
          <w:smallCaps w:val="0"/>
          <w:strike w:val="0"/>
          <w:sz w:val="22"/>
          <w:u w:val="single"/>
        </w:rPr>
        <w:t>b]</w:t>
      </w:r>
      <w:r>
        <w:rPr>
          <w:b/>
          <w:i w:val="0"/>
          <w:smallCaps w:val="0"/>
          <w:strike w:val="0"/>
          <w:sz w:val="22"/>
          <w:u w:val="single"/>
        </w:rPr>
        <w:t>ased</w:t>
      </w:r>
      <w:r>
        <w:rPr>
          <w:b/>
          <w:i w:val="0"/>
          <w:smallCaps w:val="0"/>
          <w:strike w:val="0"/>
          <w:sz w:val="22"/>
          <w:u w:val="single"/>
        </w:rPr>
        <w:t xml:space="preserve"> on that review, the United States concluded that . . . </w:t>
      </w:r>
      <w:r>
        <w:rPr>
          <w:b/>
          <w:i w:val="0"/>
          <w:smallCaps w:val="0"/>
          <w:strike w:val="0"/>
          <w:sz w:val="22"/>
          <w:u w:val="single"/>
        </w:rPr>
        <w:t>isolated DNA</w:t>
      </w:r>
      <w:r>
        <w:rPr>
          <w:b/>
          <w:i w:val="0"/>
          <w:smallCaps w:val="0"/>
          <w:strike w:val="0"/>
          <w:sz w:val="22"/>
          <w:u w:val="single"/>
        </w:rPr>
        <w:t xml:space="preserve"> is not patent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eligible subject matter</w:t>
      </w:r>
      <w:r>
        <w:rPr>
          <w:b w:val="0"/>
          <w:i w:val="0"/>
          <w:smallCaps w:val="0"/>
          <w:strike w:val="0"/>
          <w:sz w:val="16"/>
          <w:u w:val="none"/>
        </w:rPr>
        <w:t>.”191 Notably, officials from the Patent Office were not listed on the cover of the SG’s brief, as is customary in patent cases192 and other cases in which a federal agency is involved.193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