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OSG has empirically failed in copyright cases.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Samuelson ‘23</w:t>
      </w:r>
      <w:r>
        <w:rPr>
          <w:b w:val="0"/>
          <w:i w:val="0"/>
          <w:smallCaps w:val="0"/>
          <w:strike w:val="0"/>
          <w:u w:val="none"/>
        </w:rPr>
        <w:t xml:space="preserve"> [Pamela; March 7; Richard M. Sherman Distinguished Professor of Law &amp; Information at University of California, Berkeley School of Law; SSRN, “The Solicitor General's Mixed Record of Success in Supreme Court Copyright Cases,” </w:t>
      </w:r>
      <w:r>
        <w:rPr>
          <w:b w:val="0"/>
          <w:i w:val="0"/>
          <w:smallCaps w:val="0"/>
          <w:strike w:val="0"/>
          <w:u w:val="none"/>
        </w:rPr>
        <w:t>https://papers.ssrn.com/sol3/papers.cfm?abstract_id=4381579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Office of the Solicitor General (OSG) has historically been very influential with the Supreme Court, especially as an </w:t>
      </w:r>
      <w:r>
        <w:rPr>
          <w:b w:val="0"/>
          <w:i w:val="0"/>
          <w:smallCaps w:val="0"/>
          <w:strike w:val="0"/>
          <w:sz w:val="16"/>
          <w:u w:val="none"/>
        </w:rPr>
        <w:t>amicus curiae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private litigant cases (75% win rate overall, and more than 90% in patent cases). This Article is the first to consider OSG’s record of success in the Court’s copyright cases. </w:t>
      </w:r>
      <w:r>
        <w:rPr>
          <w:b/>
          <w:i w:val="0"/>
          <w:smallCaps w:val="0"/>
          <w:strike w:val="0"/>
          <w:sz w:val="22"/>
          <w:u w:val="single"/>
        </w:rPr>
        <w:t xml:space="preserve">Over the past </w:t>
      </w:r>
      <w:r>
        <w:rPr>
          <w:b/>
          <w:i w:val="0"/>
          <w:smallCaps w:val="0"/>
          <w:strike w:val="0"/>
          <w:sz w:val="22"/>
          <w:u w:val="single"/>
        </w:rPr>
        <w:t>forty-five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(starting with the effective date of the Copyright Act of 1976), </w:t>
      </w:r>
      <w:r>
        <w:rPr>
          <w:b/>
          <w:i w:val="0"/>
          <w:smallCaps w:val="0"/>
          <w:strike w:val="0"/>
          <w:sz w:val="22"/>
          <w:u w:val="single"/>
        </w:rPr>
        <w:t>OSG has had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perfect record of success in the Court’s copyright procedure and constitutional challenge cases, but a more </w:t>
      </w:r>
      <w:r>
        <w:rPr>
          <w:b/>
          <w:i w:val="0"/>
          <w:smallCaps w:val="0"/>
          <w:strike w:val="0"/>
          <w:sz w:val="22"/>
          <w:u w:val="single"/>
        </w:rPr>
        <w:t>mixed record of success</w:t>
      </w:r>
      <w:r>
        <w:rPr>
          <w:b/>
          <w:i w:val="0"/>
          <w:smallCaps w:val="0"/>
          <w:strike w:val="0"/>
          <w:sz w:val="22"/>
          <w:u w:val="single"/>
        </w:rPr>
        <w:t xml:space="preserve"> in cases calling for substantive </w:t>
      </w:r>
      <w:r>
        <w:rPr>
          <w:b/>
          <w:i w:val="0"/>
          <w:smallCaps w:val="0"/>
          <w:strike w:val="0"/>
          <w:sz w:val="22"/>
          <w:u w:val="single"/>
        </w:rPr>
        <w:t>interpretations of copyright law</w:t>
      </w:r>
      <w:r>
        <w:rPr>
          <w:b/>
          <w:i w:val="0"/>
          <w:smallCaps w:val="0"/>
          <w:strike w:val="0"/>
          <w:sz w:val="22"/>
          <w:u w:val="single"/>
        </w:rPr>
        <w:t xml:space="preserve"> and in copyright remedies cases.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some of these cases, the </w:t>
      </w:r>
      <w:r>
        <w:rPr>
          <w:b/>
          <w:i w:val="0"/>
          <w:smallCaps w:val="0"/>
          <w:strike w:val="0"/>
          <w:sz w:val="22"/>
          <w:u w:val="single"/>
        </w:rPr>
        <w:t>Court agreed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OSG about which litigant should prevail, but </w:t>
      </w:r>
      <w:r>
        <w:rPr>
          <w:b/>
          <w:i w:val="0"/>
          <w:smallCaps w:val="0"/>
          <w:strike w:val="0"/>
          <w:sz w:val="22"/>
          <w:u w:val="single"/>
        </w:rPr>
        <w:t xml:space="preserve">not with OSG’s analysis of the issues, ultimately issuing much </w:t>
      </w:r>
      <w:r>
        <w:rPr>
          <w:b/>
          <w:i w:val="0"/>
          <w:smallCaps w:val="0"/>
          <w:strike w:val="0"/>
          <w:sz w:val="22"/>
          <w:u w:val="single"/>
        </w:rPr>
        <w:t>narrower decisions</w:t>
      </w:r>
      <w:r>
        <w:rPr>
          <w:b/>
          <w:i w:val="0"/>
          <w:smallCaps w:val="0"/>
          <w:strike w:val="0"/>
          <w:sz w:val="22"/>
          <w:u w:val="single"/>
        </w:rPr>
        <w:t xml:space="preserve"> than OSG </w:t>
      </w:r>
      <w:r>
        <w:rPr>
          <w:b/>
          <w:i w:val="0"/>
          <w:smallCaps w:val="0"/>
          <w:strike w:val="0"/>
          <w:sz w:val="22"/>
          <w:u w:val="single"/>
        </w:rPr>
        <w:t>recommended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others, the </w:t>
      </w:r>
      <w:r>
        <w:rPr>
          <w:b/>
          <w:i w:val="0"/>
          <w:smallCaps w:val="0"/>
          <w:strike w:val="0"/>
          <w:sz w:val="22"/>
          <w:u w:val="single"/>
        </w:rPr>
        <w:t xml:space="preserve">Court disagreed with OSG about </w:t>
      </w:r>
      <w:r>
        <w:rPr>
          <w:b/>
          <w:i w:val="0"/>
          <w:smallCaps w:val="0"/>
          <w:strike w:val="0"/>
          <w:sz w:val="22"/>
          <w:u w:val="single"/>
        </w:rPr>
        <w:t>which litigant</w:t>
      </w:r>
      <w:r>
        <w:rPr>
          <w:b/>
          <w:i w:val="0"/>
          <w:smallCaps w:val="0"/>
          <w:strike w:val="0"/>
          <w:sz w:val="22"/>
          <w:u w:val="single"/>
        </w:rPr>
        <w:t xml:space="preserve"> should prevail, as well as with its analysis of the </w:t>
      </w:r>
      <w:r>
        <w:rPr>
          <w:b/>
          <w:i w:val="0"/>
          <w:smallCaps w:val="0"/>
          <w:strike w:val="0"/>
          <w:sz w:val="22"/>
          <w:u w:val="single"/>
        </w:rPr>
        <w:t>substantive law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OSG has typically argued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seemingly due to the influence of the U.S. Copyright Office, </w:t>
      </w:r>
      <w:r>
        <w:rPr>
          <w:b/>
          <w:i w:val="0"/>
          <w:smallCaps w:val="0"/>
          <w:strike w:val="0"/>
          <w:sz w:val="22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u w:val="single"/>
        </w:rPr>
        <w:t>higher protectionist positions</w:t>
      </w:r>
      <w:r>
        <w:rPr>
          <w:b/>
          <w:i w:val="0"/>
          <w:smallCaps w:val="0"/>
          <w:strike w:val="0"/>
          <w:sz w:val="22"/>
          <w:u w:val="single"/>
        </w:rPr>
        <w:t xml:space="preserve"> in the substantive analysis cases </w:t>
      </w:r>
      <w:r>
        <w:rPr>
          <w:b/>
          <w:i w:val="0"/>
          <w:smallCaps w:val="0"/>
          <w:strike w:val="0"/>
          <w:sz w:val="22"/>
          <w:u w:val="single"/>
        </w:rPr>
        <w:t>than the Court adopted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Court has generally taken a broader view of the potential implications of its rulings for the public and for affected industry sectors than OSG espoused, often heeding concerns expressed in lower protectionist amicus briefs. The </w:t>
      </w:r>
      <w:r>
        <w:rPr>
          <w:b/>
          <w:i w:val="0"/>
          <w:smallCaps w:val="0"/>
          <w:strike w:val="0"/>
          <w:sz w:val="22"/>
          <w:u w:val="single"/>
        </w:rPr>
        <w:t>Court</w:t>
      </w:r>
      <w:r>
        <w:rPr>
          <w:b/>
          <w:i w:val="0"/>
          <w:smallCaps w:val="0"/>
          <w:strike w:val="0"/>
          <w:sz w:val="22"/>
          <w:u w:val="single"/>
        </w:rPr>
        <w:t xml:space="preserve"> has also </w:t>
      </w:r>
      <w:r>
        <w:rPr>
          <w:b/>
          <w:i w:val="0"/>
          <w:smallCaps w:val="0"/>
          <w:strike w:val="0"/>
          <w:sz w:val="22"/>
          <w:u w:val="single"/>
        </w:rPr>
        <w:t>relied</w:t>
      </w:r>
      <w:r>
        <w:rPr>
          <w:b/>
          <w:i w:val="0"/>
          <w:smallCaps w:val="0"/>
          <w:strike w:val="0"/>
          <w:sz w:val="22"/>
          <w:u w:val="single"/>
        </w:rPr>
        <w:t xml:space="preserve"> more heavily than OSG on its </w:t>
      </w:r>
      <w:r>
        <w:rPr>
          <w:b/>
          <w:i w:val="0"/>
          <w:smallCaps w:val="0"/>
          <w:strike w:val="0"/>
          <w:sz w:val="22"/>
          <w:u w:val="single"/>
        </w:rPr>
        <w:t>past copyright decisions</w:t>
      </w:r>
      <w:r>
        <w:rPr>
          <w:b w:val="0"/>
          <w:i w:val="0"/>
          <w:smallCaps w:val="0"/>
          <w:strike w:val="0"/>
          <w:sz w:val="16"/>
          <w:u w:val="none"/>
        </w:rPr>
        <w:t>. To better serve the constitutional goals of copyright law, the Article suggests that OSG should limit its amicus filings in copyright cases to those in which the government has a direct and meaningful interest.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