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 nukes OSG in copyright cases.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[Pamela; Richard M. Sherman Distinguished Professor of Law, Co-Director of the Berkeley Center for Law &amp; Technology, and published widely in the areas of copyright, software protection and cyberlaw; 3/7/2023; "The Solicitor General's Mixed Record of Success in Supreme Court Copyright Cases"; University of California, Berkeley School of Law; </w:t>
      </w:r>
      <w:r>
        <w:rPr>
          <w:b w:val="0"/>
          <w:i w:val="0"/>
          <w:smallCaps w:val="0"/>
          <w:strike w:val="0"/>
          <w:sz w:val="16"/>
          <w:u w:val="none"/>
        </w:rPr>
        <w:t>https://papers.ssrn.com/sol3/papers.cfm?abstract_id=4381579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</w:t>
      </w:r>
      <w:r>
        <w:rPr>
          <w:b/>
          <w:i w:val="0"/>
          <w:smallCaps w:val="0"/>
          <w:strike w:val="0"/>
          <w:sz w:val="22"/>
          <w:u w:val="single"/>
        </w:rPr>
        <w:t>indicator of OSG’s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influence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the </w:t>
      </w:r>
      <w:r>
        <w:rPr>
          <w:b/>
          <w:i w:val="0"/>
          <w:smallCaps w:val="0"/>
          <w:strike w:val="0"/>
          <w:sz w:val="22"/>
          <w:u w:val="single"/>
        </w:rPr>
        <w:t>frequency with which the Court cites its briefs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arguments. Empirical studies have shown that </w:t>
      </w:r>
      <w:r>
        <w:rPr>
          <w:b/>
          <w:i w:val="0"/>
          <w:smallCaps w:val="0"/>
          <w:strike w:val="0"/>
          <w:sz w:val="22"/>
          <w:u w:val="single"/>
        </w:rPr>
        <w:t>OSG’s briefs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“</w:t>
      </w:r>
      <w:r>
        <w:rPr>
          <w:b/>
          <w:i w:val="0"/>
          <w:smallCaps w:val="0"/>
          <w:strike w:val="0"/>
          <w:sz w:val="22"/>
          <w:u w:val="single"/>
        </w:rPr>
        <w:t>significantly more likely to be cited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by the Court </w:t>
      </w:r>
      <w:r>
        <w:rPr>
          <w:b/>
          <w:i w:val="0"/>
          <w:smallCaps w:val="0"/>
          <w:strike w:val="0"/>
          <w:sz w:val="22"/>
          <w:u w:val="single"/>
        </w:rPr>
        <w:t>than amicus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briefs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filed </w:t>
      </w:r>
      <w:r>
        <w:rPr>
          <w:b/>
          <w:i w:val="0"/>
          <w:smallCaps w:val="0"/>
          <w:strike w:val="0"/>
          <w:sz w:val="22"/>
          <w:u w:val="single"/>
        </w:rPr>
        <w:t>by other entities</w:t>
      </w:r>
      <w:r>
        <w:rPr>
          <w:b w:val="0"/>
          <w:i w:val="0"/>
          <w:smallCaps w:val="0"/>
          <w:strike w:val="0"/>
          <w:sz w:val="16"/>
          <w:u w:val="none"/>
        </w:rPr>
        <w:t>.378 One study covering a fifty-year period in the mid- to late-twentieth century reported that OSG briefs were cited in just over 40% of the Court’s cases in which OSG filed.379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Citations to OSG’s briefs or arguments in the Court’s copyright cases are in keeping with this indicator of its influence. </w:t>
      </w:r>
      <w:r>
        <w:rPr>
          <w:b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Court’s </w:t>
      </w:r>
      <w:r>
        <w:rPr>
          <w:b/>
          <w:i w:val="0"/>
          <w:smallCaps w:val="0"/>
          <w:strike w:val="0"/>
          <w:sz w:val="22"/>
          <w:u w:val="single"/>
        </w:rPr>
        <w:t>seventeen 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rulings in which </w:t>
      </w:r>
      <w:r>
        <w:rPr>
          <w:b/>
          <w:i w:val="0"/>
          <w:smallCaps w:val="0"/>
          <w:strike w:val="0"/>
          <w:sz w:val="22"/>
          <w:u w:val="single"/>
        </w:rPr>
        <w:t>OSG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participated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OSG’s briefs or arguments were </w:t>
      </w:r>
      <w:r>
        <w:rPr>
          <w:b/>
          <w:i w:val="0"/>
          <w:smallCaps w:val="0"/>
          <w:strike w:val="0"/>
          <w:sz w:val="22"/>
          <w:u w:val="single"/>
        </w:rPr>
        <w:t>mentioned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nine (</w:t>
      </w:r>
      <w:r>
        <w:rPr>
          <w:b/>
          <w:i w:val="0"/>
          <w:smallCaps w:val="0"/>
          <w:strike w:val="0"/>
          <w:sz w:val="22"/>
          <w:u w:val="single"/>
        </w:rPr>
        <w:t>53</w:t>
      </w:r>
      <w:r>
        <w:rPr>
          <w:b w:val="0"/>
          <w:i w:val="0"/>
          <w:smallCaps w:val="0"/>
          <w:strike w:val="0"/>
          <w:sz w:val="16"/>
          <w:u w:val="none"/>
        </w:rPr>
        <w:t>%).380 But only in Eldred did the Court cite OSG’s briefs repeatedly and in a positive manner.381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Four of the eight substantive interpretation decisions mentioned OSG’s briefs. </w:t>
      </w:r>
      <w:r>
        <w:rPr>
          <w:b/>
          <w:i w:val="0"/>
          <w:smallCaps w:val="0"/>
          <w:strike w:val="0"/>
          <w:sz w:val="22"/>
          <w:u w:val="single"/>
        </w:rPr>
        <w:t>But in three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the Court </w:t>
      </w:r>
      <w:r>
        <w:rPr>
          <w:b/>
          <w:i w:val="0"/>
          <w:smallCaps w:val="0"/>
          <w:strike w:val="0"/>
          <w:sz w:val="22"/>
          <w:u w:val="single"/>
        </w:rPr>
        <w:t>expressly criticized</w:t>
      </w:r>
      <w:r>
        <w:rPr>
          <w:b/>
          <w:i w:val="0"/>
          <w:smallCaps w:val="0"/>
          <w:strike w:val="0"/>
          <w:sz w:val="22"/>
          <w:u w:val="single"/>
        </w:rPr>
        <w:t xml:space="preserve"> OSG.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Court in Quality King, for instance, </w:t>
      </w:r>
      <w:r>
        <w:rPr>
          <w:b/>
          <w:i w:val="0"/>
          <w:smallCaps w:val="0"/>
          <w:strike w:val="0"/>
          <w:sz w:val="22"/>
          <w:u w:val="single"/>
        </w:rPr>
        <w:t>opined that OSG’s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a cramped reading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of §§ 602(a) and 109(a) and </w:t>
      </w:r>
      <w:r>
        <w:rPr>
          <w:b/>
          <w:i w:val="0"/>
          <w:smallCaps w:val="0"/>
          <w:strike w:val="0"/>
          <w:sz w:val="22"/>
          <w:u w:val="single"/>
        </w:rPr>
        <w:t>characterized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/>
          <w:i w:val="0"/>
          <w:smallCaps w:val="0"/>
          <w:strike w:val="0"/>
          <w:sz w:val="22"/>
          <w:u w:val="single"/>
        </w:rPr>
        <w:t>policy arguments as “irrelevant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.”382 In </w:t>
      </w:r>
      <w:r>
        <w:rPr>
          <w:b w:val="0"/>
          <w:i w:val="0"/>
          <w:smallCaps w:val="0"/>
          <w:strike w:val="0"/>
          <w:sz w:val="16"/>
          <w:u w:val="none"/>
        </w:rPr>
        <w:t>Kirtsaeng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I, the Court </w:t>
      </w:r>
      <w:r>
        <w:rPr>
          <w:b/>
          <w:i w:val="0"/>
          <w:smallCaps w:val="0"/>
          <w:strike w:val="0"/>
          <w:sz w:val="22"/>
          <w:u w:val="single"/>
        </w:rPr>
        <w:t>said that OSG’s statutory argument was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not defensible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”383 and chided OSG for not taking seriously the likely negative impacts of a ruling in Wiley’s favor.384 The Court also found fault with OSG’s arguments in Star Athletica. 385 It </w:t>
      </w:r>
      <w:r>
        <w:rPr>
          <w:b/>
          <w:i w:val="0"/>
          <w:smallCaps w:val="0"/>
          <w:strike w:val="0"/>
          <w:sz w:val="22"/>
          <w:u w:val="single"/>
        </w:rPr>
        <w:t>criticized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OSG </w:t>
      </w:r>
      <w:r>
        <w:rPr>
          <w:b/>
          <w:i w:val="0"/>
          <w:smallCaps w:val="0"/>
          <w:strike w:val="0"/>
          <w:sz w:val="22"/>
          <w:u w:val="single"/>
        </w:rPr>
        <w:t>for violating a norm about considering arguments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</w:t>
      </w:r>
      <w:r>
        <w:rPr>
          <w:b/>
          <w:i w:val="0"/>
          <w:smallCaps w:val="0"/>
          <w:strike w:val="0"/>
          <w:sz w:val="22"/>
          <w:u w:val="single"/>
        </w:rPr>
        <w:t xml:space="preserve">raised by the parties and </w:t>
      </w:r>
      <w:r>
        <w:rPr>
          <w:b/>
          <w:i w:val="0"/>
          <w:smallCaps w:val="0"/>
          <w:strike w:val="0"/>
          <w:sz w:val="22"/>
          <w:u w:val="single"/>
        </w:rPr>
        <w:t>disagreed</w:t>
      </w:r>
      <w:r>
        <w:rPr>
          <w:b/>
          <w:i w:val="0"/>
          <w:smallCaps w:val="0"/>
          <w:strike w:val="0"/>
          <w:sz w:val="22"/>
          <w:u w:val="single"/>
        </w:rPr>
        <w:t xml:space="preserve"> with OSG about the </w:t>
      </w:r>
      <w:r>
        <w:rPr>
          <w:b/>
          <w:i w:val="0"/>
          <w:smallCaps w:val="0"/>
          <w:strike w:val="0"/>
          <w:sz w:val="22"/>
          <w:u w:val="single"/>
        </w:rPr>
        <w:t>statutory basis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upholding Varsity’s claim of copyright and its conceptualization of the work of authorship at issue.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the </w:t>
      </w:r>
      <w:r>
        <w:rPr>
          <w:b/>
          <w:i w:val="0"/>
          <w:smallCaps w:val="0"/>
          <w:strike w:val="0"/>
          <w:sz w:val="22"/>
          <w:u w:val="single"/>
        </w:rPr>
        <w:t xml:space="preserve">Court </w:t>
      </w:r>
      <w:r>
        <w:rPr>
          <w:b/>
          <w:i w:val="0"/>
          <w:smallCaps w:val="0"/>
          <w:strike w:val="0"/>
          <w:sz w:val="22"/>
          <w:u w:val="single"/>
        </w:rPr>
        <w:t>often ignored</w:t>
      </w:r>
      <w:r>
        <w:rPr>
          <w:b/>
          <w:i w:val="0"/>
          <w:smallCaps w:val="0"/>
          <w:strike w:val="0"/>
          <w:sz w:val="22"/>
          <w:u w:val="single"/>
        </w:rPr>
        <w:t xml:space="preserve"> OSG’s arguments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made no mention of OSG’s briefs or arguments, for instance, in Google, Georgia, or </w:t>
      </w:r>
      <w:r>
        <w:rPr>
          <w:b w:val="0"/>
          <w:i w:val="0"/>
          <w:smallCaps w:val="0"/>
          <w:strike w:val="0"/>
          <w:sz w:val="16"/>
          <w:u w:val="none"/>
        </w:rPr>
        <w:t>Grokster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386 And a </w:t>
      </w:r>
      <w:r>
        <w:rPr>
          <w:b/>
          <w:i w:val="0"/>
          <w:smallCaps w:val="0"/>
          <w:strike w:val="0"/>
          <w:sz w:val="22"/>
          <w:u w:val="single"/>
        </w:rPr>
        <w:t>unanimous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CCNV </w:t>
      </w:r>
      <w:r>
        <w:rPr>
          <w:b/>
          <w:i w:val="0"/>
          <w:smallCaps w:val="0"/>
          <w:strike w:val="0"/>
          <w:sz w:val="22"/>
          <w:u w:val="single"/>
        </w:rPr>
        <w:t>relegated to a footnote</w:t>
      </w:r>
      <w:r>
        <w:rPr>
          <w:b/>
          <w:i w:val="0"/>
          <w:smallCaps w:val="0"/>
          <w:strike w:val="0"/>
          <w:sz w:val="22"/>
          <w:u w:val="single"/>
        </w:rPr>
        <w:t xml:space="preserve"> the government’s argument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favor of the formal-salaried-employee standard, </w:t>
      </w:r>
      <w:r>
        <w:rPr>
          <w:b/>
          <w:i w:val="0"/>
          <w:smallCaps w:val="0"/>
          <w:strike w:val="0"/>
          <w:sz w:val="22"/>
          <w:u w:val="single"/>
        </w:rPr>
        <w:t>citing another</w:t>
      </w:r>
      <w:r>
        <w:rPr>
          <w:b/>
          <w:i w:val="0"/>
          <w:smallCaps w:val="0"/>
          <w:strike w:val="0"/>
          <w:sz w:val="22"/>
          <w:u w:val="single"/>
        </w:rPr>
        <w:t xml:space="preserve"> amicus brief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favoring that standard, but </w:t>
      </w:r>
      <w:r>
        <w:rPr>
          <w:b/>
          <w:i w:val="0"/>
          <w:smallCaps w:val="0"/>
          <w:strike w:val="0"/>
          <w:sz w:val="22"/>
          <w:u w:val="single"/>
        </w:rPr>
        <w:t>not the government’s brief</w:t>
      </w:r>
      <w:r>
        <w:rPr>
          <w:b w:val="0"/>
          <w:i w:val="0"/>
          <w:smallCaps w:val="0"/>
          <w:strike w:val="0"/>
          <w:sz w:val="16"/>
          <w:u w:val="none"/>
        </w:rPr>
        <w:t>. 387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Positive citations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OSG’s amicus arguments are </w:t>
      </w:r>
      <w:r>
        <w:rPr>
          <w:b/>
          <w:i w:val="0"/>
          <w:smallCaps w:val="0"/>
          <w:strike w:val="0"/>
          <w:sz w:val="22"/>
          <w:u w:val="single"/>
        </w:rPr>
        <w:t>infrequent in</w:t>
      </w:r>
      <w:r>
        <w:rPr>
          <w:b/>
          <w:i w:val="0"/>
          <w:smallCaps w:val="0"/>
          <w:strike w:val="0"/>
          <w:sz w:val="22"/>
          <w:u w:val="single"/>
        </w:rPr>
        <w:t xml:space="preserve"> the Court’s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/>
          <w:i w:val="0"/>
          <w:smallCaps w:val="0"/>
          <w:strike w:val="0"/>
          <w:sz w:val="22"/>
          <w:u w:val="single"/>
        </w:rPr>
        <w:t xml:space="preserve"> opinions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occur as </w:t>
      </w:r>
      <w:r>
        <w:rPr>
          <w:b/>
          <w:i w:val="0"/>
          <w:smallCaps w:val="0"/>
          <w:strike w:val="0"/>
          <w:sz w:val="22"/>
          <w:u w:val="single"/>
        </w:rPr>
        <w:t>discrete instances</w:t>
      </w:r>
      <w:r>
        <w:rPr>
          <w:b w:val="0"/>
          <w:i w:val="0"/>
          <w:smallCaps w:val="0"/>
          <w:strike w:val="0"/>
          <w:sz w:val="16"/>
          <w:u w:val="none"/>
        </w:rPr>
        <w:t>, 388 although traces of OSG’s influence can sometimes be found even when OSG’s briefs were not cited for key propositions. 389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is noteworthy that the </w:t>
      </w:r>
      <w:r>
        <w:rPr>
          <w:b/>
          <w:i w:val="0"/>
          <w:smallCaps w:val="0"/>
          <w:strike w:val="0"/>
          <w:sz w:val="22"/>
          <w:u w:val="single"/>
        </w:rPr>
        <w:t xml:space="preserve">Court has </w:t>
      </w:r>
      <w:r>
        <w:rPr>
          <w:b/>
          <w:i w:val="0"/>
          <w:smallCaps w:val="0"/>
          <w:strike w:val="0"/>
          <w:sz w:val="22"/>
          <w:u w:val="single"/>
        </w:rPr>
        <w:t>criticized OSG’s</w:t>
      </w:r>
      <w:r>
        <w:rPr>
          <w:b/>
          <w:i w:val="0"/>
          <w:smallCaps w:val="0"/>
          <w:strike w:val="0"/>
          <w:sz w:val="22"/>
          <w:u w:val="single"/>
        </w:rPr>
        <w:t xml:space="preserve"> amicus arguments in copyright cases </w:t>
      </w:r>
      <w:r>
        <w:rPr>
          <w:b/>
          <w:i w:val="0"/>
          <w:smallCaps w:val="0"/>
          <w:strike w:val="0"/>
          <w:sz w:val="22"/>
          <w:u w:val="single"/>
        </w:rPr>
        <w:t>more often than</w:t>
      </w:r>
      <w:r>
        <w:rPr>
          <w:b/>
          <w:i w:val="0"/>
          <w:smallCaps w:val="0"/>
          <w:strike w:val="0"/>
          <w:sz w:val="22"/>
          <w:u w:val="single"/>
        </w:rPr>
        <w:t xml:space="preserve"> it has </w:t>
      </w:r>
      <w:r>
        <w:rPr>
          <w:b/>
          <w:i w:val="0"/>
          <w:smallCaps w:val="0"/>
          <w:strike w:val="0"/>
          <w:sz w:val="22"/>
          <w:u w:val="single"/>
        </w:rPr>
        <w:t>praised</w:t>
      </w:r>
      <w:r>
        <w:rPr>
          <w:b/>
          <w:i w:val="0"/>
          <w:smallCaps w:val="0"/>
          <w:strike w:val="0"/>
          <w:sz w:val="22"/>
          <w:u w:val="single"/>
        </w:rPr>
        <w:t xml:space="preserve"> them.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next Part suggests some reasons why OSG’s arguments have had mixed success in the Court’s copyright cases.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