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Uniquely weak in copyright cases.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[Pamela; Richard M. Sherman Distinguished Professor of Law, Co-Director of the Berkeley Center for Law &amp; Technology, and published widely in the areas of copyright, software protection and cyberlaw; 3/7/2023; "The Solicitor General's Mixed Record of Success in Supreme Court Copyright Cases"; University of California, Berkeley School of Law; </w:t>
      </w:r>
      <w:r>
        <w:rPr>
          <w:b w:val="0"/>
          <w:i w:val="0"/>
          <w:smallCaps w:val="0"/>
          <w:strike w:val="0"/>
          <w:sz w:val="16"/>
          <w:u w:val="none"/>
        </w:rPr>
        <w:t>https://papers.ssrn.com/sol3/papers.cfm?abstract_id=4381579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sixteen </w:t>
      </w:r>
      <w:r>
        <w:rPr>
          <w:b/>
          <w:i w:val="0"/>
          <w:smallCaps w:val="0"/>
          <w:strike w:val="0"/>
          <w:sz w:val="22"/>
          <w:u w:val="single"/>
        </w:rPr>
        <w:t>copyright 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 which OSG has participated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amicus since 1978, the </w:t>
      </w:r>
      <w:r>
        <w:rPr>
          <w:b/>
          <w:i w:val="0"/>
          <w:smallCaps w:val="0"/>
          <w:strike w:val="0"/>
          <w:sz w:val="22"/>
          <w:u w:val="single"/>
        </w:rPr>
        <w:t>Court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disagreed with OSG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ten (</w:t>
      </w:r>
      <w:r>
        <w:rPr>
          <w:b/>
          <w:i w:val="0"/>
          <w:smallCaps w:val="0"/>
          <w:strike w:val="0"/>
          <w:sz w:val="22"/>
          <w:u w:val="single"/>
        </w:rPr>
        <w:t>64</w:t>
      </w:r>
      <w:r>
        <w:rPr>
          <w:b/>
          <w:i w:val="0"/>
          <w:smallCaps w:val="0"/>
          <w:strike w:val="0"/>
          <w:sz w:val="22"/>
          <w:u w:val="single"/>
        </w:rPr>
        <w:t>%)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(with one case still pending). 366 This </w:t>
      </w:r>
      <w:r>
        <w:rPr>
          <w:b/>
          <w:i w:val="0"/>
          <w:smallCaps w:val="0"/>
          <w:strike w:val="0"/>
          <w:sz w:val="22"/>
          <w:u w:val="single"/>
        </w:rPr>
        <w:t>contrasts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findings of </w:t>
      </w:r>
      <w:r>
        <w:rPr>
          <w:b/>
          <w:i w:val="0"/>
          <w:smallCaps w:val="0"/>
          <w:strike w:val="0"/>
          <w:sz w:val="22"/>
          <w:u w:val="single"/>
        </w:rPr>
        <w:t>empirical 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OSG’s influence in the 2010s </w:t>
      </w:r>
      <w:r>
        <w:rPr>
          <w:b/>
          <w:i w:val="0"/>
          <w:smallCaps w:val="0"/>
          <w:strike w:val="0"/>
          <w:sz w:val="22"/>
          <w:u w:val="single"/>
        </w:rPr>
        <w:t>which found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OSG’s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views </w:t>
      </w:r>
      <w:r>
        <w:rPr>
          <w:b/>
          <w:i w:val="0"/>
          <w:smallCaps w:val="0"/>
          <w:strike w:val="0"/>
          <w:sz w:val="22"/>
          <w:u w:val="single"/>
        </w:rPr>
        <w:t>prevailed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roughly </w:t>
      </w:r>
      <w:r>
        <w:rPr>
          <w:b/>
          <w:i w:val="0"/>
          <w:smallCaps w:val="0"/>
          <w:strike w:val="0"/>
          <w:sz w:val="22"/>
          <w:u w:val="single"/>
        </w:rPr>
        <w:t>three-quarters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it filed as amicus. 367 These data are consistent with empirical findings about OSG’s amicus success </w:t>
      </w:r>
      <w:r>
        <w:rPr>
          <w:b/>
          <w:i w:val="0"/>
          <w:smallCaps w:val="0"/>
          <w:strike w:val="0"/>
          <w:sz w:val="22"/>
          <w:u w:val="single"/>
        </w:rPr>
        <w:t>over several decades</w:t>
      </w:r>
      <w:r>
        <w:rPr>
          <w:b w:val="0"/>
          <w:i w:val="0"/>
          <w:smallCaps w:val="0"/>
          <w:strike w:val="0"/>
          <w:sz w:val="16"/>
          <w:u w:val="none"/>
        </w:rPr>
        <w:t>. 368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