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Divergent visions for tech.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[Pamela; Richard M. Sherman Distinguished Professor of Law, Co-Director of the Berkeley Center for Law &amp; Technology, and published widely in the areas of copyright, software protection and cyberlaw; 3/7/2023; "The Solicitor General's Mixed Record of Success in Supreme Court Copyright Cases"; University of California, Berkeley School of Law; </w:t>
      </w:r>
      <w:r>
        <w:rPr>
          <w:b w:val="0"/>
          <w:i w:val="0"/>
          <w:smallCaps w:val="0"/>
          <w:strike w:val="0"/>
          <w:sz w:val="16"/>
          <w:u w:val="none"/>
        </w:rPr>
        <w:t>https://papers.ssrn.com/sol3/papers.cfm?abstract_id=4381579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two high-profile twenty-first-century </w:t>
      </w:r>
      <w:r>
        <w:rPr>
          <w:b/>
          <w:i w:val="0"/>
          <w:smallCaps w:val="0"/>
          <w:strike w:val="0"/>
          <w:sz w:val="22"/>
          <w:u w:val="single"/>
        </w:rPr>
        <w:t>cases involving disruptive digital technologies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/>
          <w:i w:val="0"/>
          <w:smallCaps w:val="0"/>
          <w:strike w:val="0"/>
          <w:sz w:val="22"/>
          <w:u w:val="single"/>
        </w:rPr>
        <w:t>Court’s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technology developer liability for copyright infringement was </w:t>
      </w:r>
      <w:r>
        <w:rPr>
          <w:b/>
          <w:i w:val="0"/>
          <w:smallCaps w:val="0"/>
          <w:strike w:val="0"/>
          <w:sz w:val="22"/>
          <w:u w:val="single"/>
        </w:rPr>
        <w:t>significantly different</w:t>
      </w:r>
      <w:r>
        <w:rPr>
          <w:b/>
          <w:i w:val="0"/>
          <w:smallCaps w:val="0"/>
          <w:strike w:val="0"/>
          <w:sz w:val="22"/>
          <w:u w:val="single"/>
        </w:rPr>
        <w:t xml:space="preserve"> than OSG’s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though the Court ultimately agreed with OSG that the petitioners should prevail. One was Metro-Goldwyn-Mayer, Inc. v. </w:t>
      </w:r>
      <w:r>
        <w:rPr>
          <w:b w:val="0"/>
          <w:i w:val="0"/>
          <w:smallCaps w:val="0"/>
          <w:strike w:val="0"/>
          <w:sz w:val="16"/>
          <w:u w:val="none"/>
        </w:rPr>
        <w:t>Grokster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Ltd., 205 which considered whether developers of peer-to-peer (p2p) file-sharing technologies could be held indirectly liable for its users’ file-sharing copyright infringements. The second was American Broadcasting Corp. v. </w:t>
      </w:r>
      <w:r>
        <w:rPr>
          <w:b w:val="0"/>
          <w:i w:val="0"/>
          <w:smallCaps w:val="0"/>
          <w:strike w:val="0"/>
          <w:sz w:val="16"/>
          <w:u w:val="none"/>
        </w:rPr>
        <w:t>Aereo</w:t>
      </w:r>
      <w:r>
        <w:rPr>
          <w:b w:val="0"/>
          <w:i w:val="0"/>
          <w:smallCaps w:val="0"/>
          <w:strike w:val="0"/>
          <w:sz w:val="16"/>
          <w:u w:val="none"/>
        </w:rPr>
        <w:t>, Inc., 206 which considered a direct infringement claim against the maker of a technology enabling subscribers to watch broadcast television programs on their computers or mobile devices.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Had the </w:t>
      </w:r>
      <w:r>
        <w:rPr>
          <w:b/>
          <w:i w:val="0"/>
          <w:smallCaps w:val="0"/>
          <w:strike w:val="0"/>
          <w:sz w:val="22"/>
          <w:u w:val="single"/>
        </w:rPr>
        <w:t>Court adopted the petitioners’ and OSG’s arguments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developers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innovative technologies enabling users to access and enjoy digital content </w:t>
      </w:r>
      <w:r>
        <w:rPr>
          <w:b/>
          <w:i w:val="0"/>
          <w:smallCaps w:val="0"/>
          <w:strike w:val="0"/>
          <w:sz w:val="22"/>
          <w:u w:val="single"/>
        </w:rPr>
        <w:t>would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faced increased </w:t>
      </w:r>
      <w:r>
        <w:rPr>
          <w:b/>
          <w:i w:val="0"/>
          <w:smallCaps w:val="0"/>
          <w:strike w:val="0"/>
          <w:sz w:val="22"/>
          <w:u w:val="single"/>
        </w:rPr>
        <w:t>litigation risks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both cases, amicus curiae briefs filed by major </w:t>
      </w:r>
      <w:r>
        <w:rPr>
          <w:b/>
          <w:i w:val="0"/>
          <w:smallCaps w:val="0"/>
          <w:strike w:val="0"/>
          <w:sz w:val="22"/>
          <w:u w:val="single"/>
        </w:rPr>
        <w:t>technology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public interest organizations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warned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Court not to adopt the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petitioners’ (and </w:t>
      </w:r>
      <w:r>
        <w:rPr>
          <w:b/>
          <w:i w:val="0"/>
          <w:smallCaps w:val="0"/>
          <w:strike w:val="0"/>
          <w:sz w:val="22"/>
          <w:u w:val="single"/>
        </w:rPr>
        <w:t>OSG’s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/>
          <w:i w:val="0"/>
          <w:smallCaps w:val="0"/>
          <w:strike w:val="0"/>
          <w:sz w:val="22"/>
          <w:u w:val="single"/>
        </w:rPr>
        <w:t>views about liability rules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copyright owners sue technology companies for direct or indirect infringement.207 In both cases, </w:t>
      </w: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Court heeded those warnings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issued </w:t>
      </w:r>
      <w:r>
        <w:rPr>
          <w:b/>
          <w:i w:val="0"/>
          <w:smallCaps w:val="0"/>
          <w:strike w:val="0"/>
          <w:sz w:val="22"/>
          <w:u w:val="single"/>
        </w:rPr>
        <w:t>narrower rulings</w:t>
      </w:r>
      <w:r>
        <w:rPr>
          <w:b/>
          <w:i w:val="0"/>
          <w:smallCaps w:val="0"/>
          <w:strike w:val="0"/>
          <w:sz w:val="22"/>
          <w:u w:val="single"/>
        </w:rPr>
        <w:t xml:space="preserve">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petitioners </w:t>
      </w:r>
      <w:r>
        <w:rPr>
          <w:b w:val="0"/>
          <w:i w:val="0"/>
          <w:smallCaps w:val="0"/>
          <w:strike w:val="0"/>
          <w:sz w:val="16"/>
          <w:u w:val="none"/>
        </w:rPr>
        <w:t>sought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OSG recommended.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