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Energy independence </w:t>
      </w:r>
      <w:r>
        <w:rPr>
          <w:b/>
          <w:i w:val="0"/>
          <w:smallCaps w:val="0"/>
          <w:strike w:val="0"/>
          <w:sz w:val="24"/>
          <w:u w:val="single"/>
        </w:rPr>
        <w:t>remains low</w:t>
      </w:r>
      <w:r>
        <w:rPr>
          <w:b/>
          <w:i w:val="0"/>
          <w:smallCaps w:val="0"/>
          <w:strike w:val="0"/>
          <w:sz w:val="24"/>
          <w:u w:val="none"/>
        </w:rPr>
        <w:t xml:space="preserve"> post-pandemic</w:t>
      </w:r>
      <w:r>
        <w:rPr>
          <w:b/>
          <w:i w:val="0"/>
          <w:smallCaps w:val="0"/>
          <w:strike w:val="0"/>
          <w:sz w:val="24"/>
          <w:u w:val="none"/>
        </w:rPr>
        <w:t xml:space="preserve">---renewable transition is the </w:t>
      </w:r>
      <w:r>
        <w:rPr>
          <w:b/>
          <w:i w:val="0"/>
          <w:smallCaps w:val="0"/>
          <w:strike w:val="0"/>
          <w:sz w:val="24"/>
          <w:u w:val="single"/>
        </w:rPr>
        <w:t>key</w:t>
      </w:r>
      <w:r>
        <w:rPr>
          <w:b/>
          <w:i w:val="0"/>
          <w:smallCaps w:val="0"/>
          <w:strike w:val="0"/>
          <w:sz w:val="24"/>
          <w:u w:val="none"/>
        </w:rPr>
        <w:t>.</w:t>
      </w:r>
    </w:p>
    <w:p>
      <w:pPr>
        <w:spacing w:after="80"/>
      </w:pPr>
      <w:r>
        <w:rPr>
          <w:b/>
          <w:i w:val="0"/>
          <w:smallCaps w:val="0"/>
          <w:strike w:val="0"/>
          <w:sz w:val="24"/>
          <w:u w:val="none"/>
        </w:rPr>
        <w:t>Anastasios 23,</w:t>
      </w:r>
      <w:r>
        <w:rPr>
          <w:b w:val="0"/>
          <w:i w:val="0"/>
          <w:smallCaps w:val="0"/>
          <w:strike w:val="0"/>
          <w:sz w:val="16"/>
          <w:u w:val="none"/>
        </w:rPr>
        <w:t xml:space="preserve"> [</w:t>
      </w:r>
      <w:r>
        <w:rPr>
          <w:b w:val="0"/>
          <w:i w:val="0"/>
          <w:smallCaps w:val="0"/>
          <w:strike w:val="0"/>
          <w:sz w:val="16"/>
          <w:u w:val="none"/>
        </w:rPr>
        <w:t>Genitsaridis</w:t>
      </w:r>
      <w:r>
        <w:rPr>
          <w:b w:val="0"/>
          <w:i w:val="0"/>
          <w:smallCaps w:val="0"/>
          <w:strike w:val="0"/>
          <w:sz w:val="16"/>
          <w:u w:val="none"/>
        </w:rPr>
        <w:t xml:space="preserve"> Anastasios </w:t>
      </w:r>
      <w:r>
        <w:rPr>
          <w:b w:val="0"/>
          <w:i w:val="0"/>
          <w:smallCaps w:val="0"/>
          <w:strike w:val="0"/>
          <w:sz w:val="16"/>
          <w:u w:val="none"/>
        </w:rPr>
        <w:t xml:space="preserve">(University of Piraeus Department of International and European Studies, Master in Energy: Strategy, Law &amp; Economics), “Energy Diplomacy: Managing Energy Dependence,” University of Piraeus, </w:t>
      </w:r>
      <w:r>
        <w:rPr>
          <w:b w:val="0"/>
          <w:i w:val="0"/>
          <w:smallCaps w:val="0"/>
          <w:strike w:val="0"/>
          <w:sz w:val="16"/>
          <w:u w:val="none"/>
        </w:rPr>
        <w:t xml:space="preserve">, accessed 7-4-2024, 11/23] </w:t>
      </w:r>
      <w:r>
        <w:rPr>
          <w:b w:val="0"/>
          <w:i w:val="0"/>
          <w:smallCaps w:val="0"/>
          <w:strike w:val="0"/>
          <w:sz w:val="16"/>
          <w:u w:val="none"/>
        </w:rPr>
        <w:t>Mr.Mr</w:t>
      </w:r>
      <w:r>
        <w:rPr>
          <w:b w:val="0"/>
          <w:i w:val="0"/>
          <w:smallCaps w:val="0"/>
          <w:strike w:val="0"/>
          <w:sz w:val="16"/>
          <w:u w:val="none"/>
        </w:rPr>
        <w:t>.</w:t>
      </w:r>
    </w:p>
    <w:p>
      <w:pPr>
        <w:spacing w:after="60"/>
      </w:pPr>
      <w:r>
        <w:rPr>
          <w:b w:val="0"/>
          <w:i w:val="0"/>
          <w:smallCaps w:val="0"/>
          <w:strike w:val="0"/>
          <w:sz w:val="16"/>
          <w:u w:val="none"/>
        </w:rPr>
        <w:t>As mentioned before, the United States, almost throughout its history, has imported more petroleum, including refined petroleum products, crude oil, and other liquids, than it has exported. In 2020, this situation changed. According to the Short-</w:t>
      </w:r>
      <w:r>
        <w:rPr>
          <w:b w:val="0"/>
          <w:i w:val="0"/>
          <w:smallCaps w:val="0"/>
          <w:strike w:val="0"/>
          <w:sz w:val="16"/>
          <w:u w:val="none"/>
        </w:rPr>
        <w:t>TermEnergy</w:t>
      </w:r>
      <w:r>
        <w:rPr>
          <w:b w:val="0"/>
          <w:i w:val="0"/>
          <w:smallCaps w:val="0"/>
          <w:strike w:val="0"/>
          <w:sz w:val="16"/>
          <w:u w:val="none"/>
        </w:rPr>
        <w:t xml:space="preserve"> Outlook (STEO) of February 2021 provided by the U.S. Energy </w:t>
      </w:r>
      <w:r>
        <w:rPr>
          <w:b w:val="0"/>
          <w:i w:val="0"/>
          <w:smallCaps w:val="0"/>
          <w:strike w:val="0"/>
          <w:sz w:val="16"/>
          <w:u w:val="none"/>
        </w:rPr>
        <w:t>InformationAdministration</w:t>
      </w:r>
      <w:r>
        <w:rPr>
          <w:b w:val="0"/>
          <w:i w:val="0"/>
          <w:smallCaps w:val="0"/>
          <w:strike w:val="0"/>
          <w:sz w:val="16"/>
          <w:u w:val="none"/>
        </w:rPr>
        <w:t xml:space="preserve"> (EIA), 2020 was the first year that the United States exported </w:t>
      </w:r>
      <w:r>
        <w:rPr>
          <w:b w:val="0"/>
          <w:i w:val="0"/>
          <w:smallCaps w:val="0"/>
          <w:strike w:val="0"/>
          <w:sz w:val="16"/>
          <w:u w:val="none"/>
        </w:rPr>
        <w:t>morepetroleum</w:t>
      </w:r>
      <w:r>
        <w:rPr>
          <w:b w:val="0"/>
          <w:i w:val="0"/>
          <w:smallCaps w:val="0"/>
          <w:strike w:val="0"/>
          <w:sz w:val="16"/>
          <w:u w:val="none"/>
        </w:rPr>
        <w:t xml:space="preserve"> than it imported. However, </w:t>
      </w:r>
      <w:r>
        <w:rPr>
          <w:b w:val="0"/>
          <w:i w:val="0"/>
          <w:smallCaps w:val="0"/>
          <w:strike w:val="0"/>
          <w:sz w:val="20"/>
          <w:u w:val="single"/>
        </w:rPr>
        <w:t xml:space="preserve">EIA expects that, mainly </w:t>
      </w:r>
      <w:r>
        <w:rPr>
          <w:b w:val="0"/>
          <w:i w:val="0"/>
          <w:smallCaps w:val="0"/>
          <w:strike w:val="0"/>
          <w:sz w:val="20"/>
          <w:highlight w:val="cyan"/>
          <w:u w:val="single"/>
        </w:rPr>
        <w:t xml:space="preserve">due to declines in </w:t>
      </w:r>
      <w:r>
        <w:rPr>
          <w:b/>
          <w:i w:val="0"/>
          <w:smallCaps w:val="0"/>
          <w:strike w:val="0"/>
          <w:sz w:val="20"/>
          <w:highlight w:val="cyan"/>
          <w:u w:val="single"/>
        </w:rPr>
        <w:t>domestic</w:t>
      </w:r>
      <w:r>
        <w:rPr>
          <w:b w:val="0"/>
          <w:i w:val="0"/>
          <w:smallCaps w:val="0"/>
          <w:strike w:val="0"/>
          <w:sz w:val="20"/>
          <w:u w:val="single"/>
        </w:rPr>
        <w:t xml:space="preserve"> crude </w:t>
      </w:r>
      <w:r>
        <w:rPr>
          <w:b/>
          <w:i w:val="0"/>
          <w:smallCaps w:val="0"/>
          <w:strike w:val="0"/>
          <w:sz w:val="20"/>
          <w:highlight w:val="cyan"/>
          <w:u w:val="single"/>
        </w:rPr>
        <w:t>oil</w:t>
      </w:r>
      <w:r>
        <w:rPr>
          <w:b/>
          <w:i w:val="0"/>
          <w:smallCaps w:val="0"/>
          <w:strike w:val="0"/>
          <w:sz w:val="20"/>
          <w:u w:val="single"/>
        </w:rPr>
        <w:t xml:space="preserve"> production</w:t>
      </w:r>
      <w:r>
        <w:rPr>
          <w:b w:val="0"/>
          <w:i w:val="0"/>
          <w:smallCaps w:val="0"/>
          <w:strike w:val="0"/>
          <w:sz w:val="20"/>
          <w:u w:val="single"/>
        </w:rPr>
        <w:t xml:space="preserve"> </w:t>
      </w:r>
      <w:r>
        <w:rPr>
          <w:b w:val="0"/>
          <w:i w:val="0"/>
          <w:smallCaps w:val="0"/>
          <w:strike w:val="0"/>
          <w:sz w:val="20"/>
          <w:highlight w:val="cyan"/>
          <w:u w:val="single"/>
        </w:rPr>
        <w:t>and</w:t>
      </w:r>
      <w:r>
        <w:rPr>
          <w:b w:val="0"/>
          <w:i w:val="0"/>
          <w:smallCaps w:val="0"/>
          <w:strike w:val="0"/>
          <w:sz w:val="20"/>
          <w:u w:val="single"/>
        </w:rPr>
        <w:t xml:space="preserve"> subsequent </w:t>
      </w:r>
      <w:r>
        <w:rPr>
          <w:b/>
          <w:i w:val="0"/>
          <w:smallCaps w:val="0"/>
          <w:strike w:val="0"/>
          <w:sz w:val="20"/>
          <w:highlight w:val="cyan"/>
          <w:u w:val="single"/>
        </w:rPr>
        <w:t>increases</w:t>
      </w:r>
      <w:r>
        <w:rPr>
          <w:b w:val="0"/>
          <w:i w:val="0"/>
          <w:smallCaps w:val="0"/>
          <w:strike w:val="0"/>
          <w:sz w:val="20"/>
          <w:highlight w:val="cyan"/>
          <w:u w:val="single"/>
        </w:rPr>
        <w:t xml:space="preserve"> in</w:t>
      </w:r>
      <w:r>
        <w:rPr>
          <w:b w:val="0"/>
          <w:i w:val="0"/>
          <w:smallCaps w:val="0"/>
          <w:strike w:val="0"/>
          <w:sz w:val="20"/>
          <w:u w:val="single"/>
        </w:rPr>
        <w:t xml:space="preserve"> crude </w:t>
      </w:r>
      <w:r>
        <w:rPr>
          <w:b/>
          <w:i w:val="0"/>
          <w:smallCaps w:val="0"/>
          <w:strike w:val="0"/>
          <w:sz w:val="20"/>
          <w:u w:val="single"/>
        </w:rPr>
        <w:t xml:space="preserve">oil </w:t>
      </w:r>
      <w:r>
        <w:rPr>
          <w:b/>
          <w:i w:val="0"/>
          <w:smallCaps w:val="0"/>
          <w:strike w:val="0"/>
          <w:sz w:val="20"/>
          <w:highlight w:val="cyan"/>
          <w:u w:val="single"/>
        </w:rPr>
        <w:t>imports</w:t>
      </w:r>
      <w:r>
        <w:rPr>
          <w:b w:val="0"/>
          <w:i w:val="0"/>
          <w:smallCaps w:val="0"/>
          <w:strike w:val="0"/>
          <w:sz w:val="20"/>
          <w:highlight w:val="cyan"/>
          <w:u w:val="single"/>
        </w:rPr>
        <w:t xml:space="preserve">, the </w:t>
      </w:r>
      <w:r>
        <w:rPr>
          <w:b/>
          <w:i w:val="0"/>
          <w:smallCaps w:val="0"/>
          <w:strike w:val="0"/>
          <w:sz w:val="20"/>
          <w:highlight w:val="cyan"/>
          <w:u w:val="single"/>
        </w:rPr>
        <w:t>U</w:t>
      </w:r>
      <w:r>
        <w:rPr>
          <w:b w:val="0"/>
          <w:i w:val="0"/>
          <w:smallCaps w:val="0"/>
          <w:strike w:val="0"/>
          <w:sz w:val="20"/>
          <w:u w:val="single"/>
        </w:rPr>
        <w:t xml:space="preserve">nited </w:t>
      </w:r>
      <w:r>
        <w:rPr>
          <w:b/>
          <w:i w:val="0"/>
          <w:smallCaps w:val="0"/>
          <w:strike w:val="0"/>
          <w:sz w:val="20"/>
          <w:highlight w:val="cyan"/>
          <w:u w:val="single"/>
        </w:rPr>
        <w:t>S</w:t>
      </w:r>
      <w:r>
        <w:rPr>
          <w:b w:val="0"/>
          <w:i w:val="0"/>
          <w:smallCaps w:val="0"/>
          <w:strike w:val="0"/>
          <w:sz w:val="20"/>
          <w:u w:val="single"/>
        </w:rPr>
        <w:t xml:space="preserve">tates </w:t>
      </w:r>
      <w:r>
        <w:rPr>
          <w:b w:val="0"/>
          <w:i w:val="0"/>
          <w:smallCaps w:val="0"/>
          <w:strike w:val="0"/>
          <w:sz w:val="20"/>
          <w:highlight w:val="cyan"/>
          <w:u w:val="single"/>
        </w:rPr>
        <w:t xml:space="preserve">will return to being a </w:t>
      </w:r>
      <w:r>
        <w:rPr>
          <w:b/>
          <w:i w:val="0"/>
          <w:smallCaps w:val="0"/>
          <w:strike w:val="0"/>
          <w:sz w:val="20"/>
          <w:highlight w:val="cyan"/>
          <w:u w:val="single"/>
        </w:rPr>
        <w:t>net</w:t>
      </w:r>
      <w:r>
        <w:rPr>
          <w:b/>
          <w:i w:val="0"/>
          <w:smallCaps w:val="0"/>
          <w:strike w:val="0"/>
          <w:sz w:val="20"/>
          <w:u w:val="single"/>
        </w:rPr>
        <w:t xml:space="preserve"> petroleum </w:t>
      </w:r>
      <w:r>
        <w:rPr>
          <w:b/>
          <w:i w:val="0"/>
          <w:smallCaps w:val="0"/>
          <w:strike w:val="0"/>
          <w:sz w:val="20"/>
          <w:highlight w:val="cyan"/>
          <w:u w:val="single"/>
        </w:rPr>
        <w:t>importer</w:t>
      </w:r>
      <w:r>
        <w:rPr>
          <w:b w:val="0"/>
          <w:i w:val="0"/>
          <w:smallCaps w:val="0"/>
          <w:strike w:val="0"/>
          <w:sz w:val="20"/>
          <w:highlight w:val="cyan"/>
          <w:u w:val="single"/>
        </w:rPr>
        <w:t xml:space="preserve"> both for</w:t>
      </w:r>
      <w:r>
        <w:rPr>
          <w:b w:val="0"/>
          <w:i w:val="0"/>
          <w:smallCaps w:val="0"/>
          <w:strike w:val="0"/>
          <w:sz w:val="20"/>
          <w:u w:val="single"/>
        </w:rPr>
        <w:t xml:space="preserve"> 20</w:t>
      </w:r>
      <w:r>
        <w:rPr>
          <w:b w:val="0"/>
          <w:i w:val="0"/>
          <w:smallCaps w:val="0"/>
          <w:strike w:val="0"/>
          <w:sz w:val="20"/>
          <w:highlight w:val="cyan"/>
          <w:u w:val="single"/>
        </w:rPr>
        <w:t>21 and</w:t>
      </w:r>
      <w:r>
        <w:rPr>
          <w:b w:val="0"/>
          <w:i w:val="0"/>
          <w:smallCaps w:val="0"/>
          <w:strike w:val="0"/>
          <w:sz w:val="20"/>
          <w:u w:val="single"/>
        </w:rPr>
        <w:t xml:space="preserve"> 20</w:t>
      </w:r>
      <w:r>
        <w:rPr>
          <w:b w:val="0"/>
          <w:i w:val="0"/>
          <w:smallCaps w:val="0"/>
          <w:strike w:val="0"/>
          <w:sz w:val="20"/>
          <w:highlight w:val="cyan"/>
          <w:u w:val="single"/>
        </w:rPr>
        <w:t>22</w:t>
      </w:r>
      <w:r>
        <w:rPr>
          <w:b w:val="0"/>
          <w:i w:val="0"/>
          <w:smallCaps w:val="0"/>
          <w:strike w:val="0"/>
          <w:sz w:val="20"/>
          <w:u w:val="single"/>
        </w:rPr>
        <w:t>.</w:t>
      </w:r>
      <w:r>
        <w:rPr>
          <w:b w:val="0"/>
          <w:i w:val="0"/>
          <w:smallCaps w:val="0"/>
          <w:strike w:val="0"/>
          <w:sz w:val="16"/>
          <w:u w:val="none"/>
        </w:rPr>
        <w:t xml:space="preserve"> </w:t>
      </w:r>
    </w:p>
    <w:p>
      <w:pPr>
        <w:spacing w:after="60"/>
      </w:pPr>
      <w:r>
        <w:rPr>
          <w:b w:val="0"/>
          <w:i w:val="0"/>
          <w:smallCaps w:val="0"/>
          <w:strike w:val="0"/>
          <w:sz w:val="16"/>
          <w:u w:val="none"/>
        </w:rPr>
        <w:t xml:space="preserve">According to EIA’s reports, the growing crude oil imports will subsequently lead to the rise of the net petroleum imports and more than counterbalance the changes in the refined product net trade. Specifically, the Administration expects the augmentation of the net imports of crude oil from their 2020 average of 2.7 </w:t>
      </w:r>
      <w:r>
        <w:rPr>
          <w:b w:val="0"/>
          <w:i w:val="0"/>
          <w:smallCaps w:val="0"/>
          <w:strike w:val="0"/>
          <w:sz w:val="16"/>
          <w:u w:val="none"/>
        </w:rPr>
        <w:t>mmb</w:t>
      </w:r>
      <w:r>
        <w:rPr>
          <w:b w:val="0"/>
          <w:i w:val="0"/>
          <w:smallCaps w:val="0"/>
          <w:strike w:val="0"/>
          <w:sz w:val="16"/>
          <w:u w:val="none"/>
        </w:rPr>
        <w:t xml:space="preserve">/d to 3.7 </w:t>
      </w:r>
      <w:r>
        <w:rPr>
          <w:b w:val="0"/>
          <w:i w:val="0"/>
          <w:smallCaps w:val="0"/>
          <w:strike w:val="0"/>
          <w:sz w:val="16"/>
          <w:u w:val="none"/>
        </w:rPr>
        <w:t>mmb</w:t>
      </w:r>
      <w:r>
        <w:rPr>
          <w:b w:val="0"/>
          <w:i w:val="0"/>
          <w:smallCaps w:val="0"/>
          <w:strike w:val="0"/>
          <w:sz w:val="16"/>
          <w:u w:val="none"/>
        </w:rPr>
        <w:t xml:space="preserve">/d and 4.4 </w:t>
      </w:r>
      <w:r>
        <w:rPr>
          <w:b w:val="0"/>
          <w:i w:val="0"/>
          <w:smallCaps w:val="0"/>
          <w:strike w:val="0"/>
          <w:sz w:val="16"/>
          <w:u w:val="none"/>
        </w:rPr>
        <w:t>mmb</w:t>
      </w:r>
      <w:r>
        <w:rPr>
          <w:b w:val="0"/>
          <w:i w:val="0"/>
          <w:smallCaps w:val="0"/>
          <w:strike w:val="0"/>
          <w:sz w:val="16"/>
          <w:u w:val="none"/>
        </w:rPr>
        <w:t xml:space="preserve">/d in 2021 and 2022 respectively. </w:t>
      </w:r>
    </w:p>
    <w:p>
      <w:pPr>
        <w:spacing w:after="60"/>
      </w:pPr>
      <w:r>
        <w:rPr>
          <w:b w:val="0"/>
          <w:i w:val="0"/>
          <w:smallCaps w:val="0"/>
          <w:strike w:val="0"/>
          <w:sz w:val="16"/>
          <w:u w:val="none"/>
        </w:rPr>
        <w:t xml:space="preserve">In comparison with crude oil trade, net exports of refined petroleum products did not change as much during 2020. EIA foresees that the net petroleum product exports will be accretive for 2021 and 2022 as global demand for </w:t>
      </w:r>
      <w:r>
        <w:rPr>
          <w:b w:val="0"/>
          <w:i w:val="0"/>
          <w:smallCaps w:val="0"/>
          <w:strike w:val="0"/>
          <w:sz w:val="16"/>
          <w:u w:val="none"/>
        </w:rPr>
        <w:t>petroleumproducts</w:t>
      </w:r>
      <w:r>
        <w:rPr>
          <w:b w:val="0"/>
          <w:i w:val="0"/>
          <w:smallCaps w:val="0"/>
          <w:strike w:val="0"/>
          <w:sz w:val="16"/>
          <w:u w:val="none"/>
        </w:rPr>
        <w:t xml:space="preserve"> continues to grow. Moreover, EIA forecasts that the United States will have to import more crude oil </w:t>
      </w:r>
      <w:r>
        <w:rPr>
          <w:b w:val="0"/>
          <w:i w:val="0"/>
          <w:smallCaps w:val="0"/>
          <w:strike w:val="0"/>
          <w:sz w:val="16"/>
          <w:u w:val="none"/>
        </w:rPr>
        <w:t>in order to</w:t>
      </w:r>
      <w:r>
        <w:rPr>
          <w:b w:val="0"/>
          <w:i w:val="0"/>
          <w:smallCaps w:val="0"/>
          <w:strike w:val="0"/>
          <w:sz w:val="16"/>
          <w:u w:val="none"/>
        </w:rPr>
        <w:t xml:space="preserve"> fill the widening gap between the domestic crude oil production and the refinery inputs of crude oil in 2021 and 2022. Specifically, the U.S. crude oil production declined by eight percent in 2020 because of well curtailment and a drop in the drilling activity which was related to low crude oil prices. </w:t>
      </w:r>
      <w:r>
        <w:rPr>
          <w:b w:val="0"/>
          <w:i w:val="0"/>
          <w:smallCaps w:val="0"/>
          <w:strike w:val="0"/>
          <w:sz w:val="16"/>
          <w:u w:val="single"/>
        </w:rPr>
        <w:t xml:space="preserve">To conclude with, </w:t>
      </w:r>
      <w:r>
        <w:rPr>
          <w:b w:val="0"/>
          <w:i w:val="0"/>
          <w:smallCaps w:val="0"/>
          <w:strike w:val="0"/>
          <w:sz w:val="16"/>
          <w:highlight w:val="cyan"/>
          <w:u w:val="single"/>
        </w:rPr>
        <w:t>U.S</w:t>
      </w:r>
      <w:r>
        <w:rPr>
          <w:b w:val="0"/>
          <w:i w:val="0"/>
          <w:smallCaps w:val="0"/>
          <w:strike w:val="0"/>
          <w:sz w:val="16"/>
          <w:u w:val="single"/>
        </w:rPr>
        <w:t xml:space="preserve">. is </w:t>
      </w:r>
      <w:r>
        <w:rPr>
          <w:b/>
          <w:i w:val="0"/>
          <w:smallCaps w:val="0"/>
          <w:strike w:val="0"/>
          <w:sz w:val="20"/>
          <w:highlight w:val="cyan"/>
          <w:u w:val="single"/>
        </w:rPr>
        <w:t>expected</w:t>
      </w:r>
      <w:r>
        <w:rPr>
          <w:b w:val="0"/>
          <w:i w:val="0"/>
          <w:smallCaps w:val="0"/>
          <w:strike w:val="0"/>
          <w:sz w:val="16"/>
          <w:highlight w:val="cyan"/>
          <w:u w:val="single"/>
        </w:rPr>
        <w:t xml:space="preserve"> to import </w:t>
      </w:r>
      <w:r>
        <w:rPr>
          <w:b/>
          <w:i w:val="0"/>
          <w:smallCaps w:val="0"/>
          <w:strike w:val="0"/>
          <w:sz w:val="20"/>
          <w:highlight w:val="cyan"/>
          <w:u w:val="single"/>
        </w:rPr>
        <w:t xml:space="preserve">62 percent </w:t>
      </w:r>
      <w:r>
        <w:rPr>
          <w:b/>
          <w:i w:val="0"/>
          <w:smallCaps w:val="0"/>
          <w:strike w:val="0"/>
          <w:sz w:val="20"/>
          <w:highlight w:val="cyan"/>
          <w:u w:val="single"/>
        </w:rPr>
        <w:t>more</w:t>
      </w:r>
      <w:r>
        <w:rPr>
          <w:b w:val="0"/>
          <w:i w:val="0"/>
          <w:smallCaps w:val="0"/>
          <w:strike w:val="0"/>
          <w:sz w:val="16"/>
          <w:highlight w:val="cyan"/>
          <w:u w:val="single"/>
        </w:rPr>
        <w:t xml:space="preserve"> crude</w:t>
      </w:r>
      <w:r>
        <w:rPr>
          <w:b w:val="0"/>
          <w:i w:val="0"/>
          <w:smallCaps w:val="0"/>
          <w:strike w:val="0"/>
          <w:sz w:val="16"/>
          <w:u w:val="single"/>
        </w:rPr>
        <w:t xml:space="preserve"> by 2022 </w:t>
      </w:r>
      <w:r>
        <w:rPr>
          <w:b w:val="0"/>
          <w:i w:val="0"/>
          <w:smallCaps w:val="0"/>
          <w:strike w:val="0"/>
          <w:sz w:val="16"/>
          <w:highlight w:val="cyan"/>
          <w:u w:val="single"/>
        </w:rPr>
        <w:t xml:space="preserve">due to </w:t>
      </w:r>
      <w:r>
        <w:rPr>
          <w:b/>
          <w:i w:val="0"/>
          <w:smallCaps w:val="0"/>
          <w:strike w:val="0"/>
          <w:sz w:val="20"/>
          <w:highlight w:val="cyan"/>
          <w:u w:val="single"/>
        </w:rPr>
        <w:t>domestic production declines</w:t>
      </w:r>
      <w:r>
        <w:rPr>
          <w:b w:val="0"/>
          <w:i w:val="0"/>
          <w:smallCaps w:val="0"/>
          <w:strike w:val="0"/>
          <w:sz w:val="16"/>
          <w:u w:val="single"/>
        </w:rPr>
        <w:t>, according to EIA</w:t>
      </w:r>
      <w:r>
        <w:rPr>
          <w:b w:val="0"/>
          <w:i w:val="0"/>
          <w:smallCaps w:val="0"/>
          <w:strike w:val="0"/>
          <w:sz w:val="16"/>
          <w:u w:val="none"/>
        </w:rPr>
        <w:t xml:space="preserve"> (French and Macintyre, 2021).</w:t>
      </w:r>
    </w:p>
    <w:p>
      <w:pPr>
        <w:pStyle w:val="Caption"/>
      </w:pPr>
      <w:r>
        <w:t>Source: Innovation Core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