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Filings are </w:t>
      </w:r>
      <w:r>
        <w:rPr>
          <w:b/>
          <w:i w:val="0"/>
          <w:smallCaps w:val="0"/>
          <w:strike w:val="0"/>
          <w:sz w:val="26"/>
          <w:u w:val="single"/>
        </w:rPr>
        <w:t>down</w:t>
      </w:r>
      <w:r>
        <w:rPr>
          <w:b/>
          <w:i w:val="0"/>
          <w:smallCaps w:val="0"/>
          <w:strike w:val="0"/>
          <w:sz w:val="26"/>
          <w:u w:val="none"/>
        </w:rPr>
        <w:t xml:space="preserve"> AND the </w:t>
      </w:r>
      <w:r>
        <w:rPr>
          <w:b/>
          <w:i w:val="0"/>
          <w:smallCaps w:val="0"/>
          <w:strike w:val="0"/>
          <w:sz w:val="26"/>
          <w:u w:val="single"/>
        </w:rPr>
        <w:t>pace of change</w:t>
      </w:r>
      <w:r>
        <w:rPr>
          <w:b/>
          <w:i w:val="0"/>
          <w:smallCaps w:val="0"/>
          <w:strike w:val="0"/>
          <w:sz w:val="26"/>
          <w:u w:val="none"/>
        </w:rPr>
        <w:t xml:space="preserve"> is </w:t>
      </w:r>
      <w:r>
        <w:rPr>
          <w:b/>
          <w:i w:val="0"/>
          <w:smallCaps w:val="0"/>
          <w:strike w:val="0"/>
          <w:sz w:val="26"/>
          <w:u w:val="single"/>
        </w:rPr>
        <w:t>gradual</w:t>
      </w:r>
      <w:r>
        <w:rPr>
          <w:b/>
          <w:i w:val="0"/>
          <w:smallCaps w:val="0"/>
          <w:strike w:val="0"/>
          <w:sz w:val="26"/>
          <w:u w:val="none"/>
        </w:rPr>
        <w:t>.</w:t>
      </w:r>
    </w:p>
    <w:p>
      <w:pPr>
        <w:spacing w:after="80"/>
      </w:pPr>
      <w:r>
        <w:rPr>
          <w:b/>
          <w:i w:val="0"/>
          <w:smallCaps w:val="0"/>
          <w:strike w:val="0"/>
          <w:sz w:val="26"/>
          <w:u w:val="none"/>
        </w:rPr>
        <w:t xml:space="preserve">NCSC ’24 </w:t>
      </w:r>
      <w:r>
        <w:rPr>
          <w:b w:val="0"/>
          <w:i w:val="0"/>
          <w:smallCaps w:val="0"/>
          <w:strike w:val="0"/>
          <w:u w:val="none"/>
        </w:rPr>
        <w:t>[National Center for State Courts; March 6; Independent non-profit organization that serves as an authoritative source for judicial resources and has compiled and released statistics on the court for over fifty years; National Center for State Courts, “Court Statistics Project releases trial court caseload trends,” https://www.ncsc.org/newsroom/at-the-center/2024/court-statistics-project-releases-trial-court-caseload-trends]</w:t>
      </w:r>
    </w:p>
    <w:p>
      <w:pPr>
        <w:spacing w:after="60"/>
      </w:pPr>
      <w:r>
        <w:rPr>
          <w:b w:val="0"/>
          <w:i w:val="0"/>
          <w:smallCaps w:val="0"/>
          <w:strike w:val="0"/>
          <w:sz w:val="16"/>
          <w:u w:val="none"/>
        </w:rPr>
        <w:t xml:space="preserve">During 2022, state courts handled 64.6 million incoming cases, which is a 2% increase over the previous year. However, </w:t>
      </w:r>
      <w:r>
        <w:rPr>
          <w:b w:val="0"/>
          <w:i w:val="0"/>
          <w:smallCaps w:val="0"/>
          <w:strike w:val="0"/>
          <w:sz w:val="22"/>
          <w:u w:val="single"/>
        </w:rPr>
        <w:t xml:space="preserve">when compared to the </w:t>
      </w:r>
      <w:r>
        <w:rPr>
          <w:b/>
          <w:i w:val="0"/>
          <w:smallCaps w:val="0"/>
          <w:strike w:val="0"/>
          <w:sz w:val="24"/>
          <w:u w:val="single"/>
        </w:rPr>
        <w:t>total number</w:t>
      </w:r>
      <w:r>
        <w:rPr>
          <w:b w:val="0"/>
          <w:i w:val="0"/>
          <w:smallCaps w:val="0"/>
          <w:strike w:val="0"/>
          <w:sz w:val="22"/>
          <w:u w:val="single"/>
        </w:rPr>
        <w:t xml:space="preserve"> of cases in 2019 (83.2 million), </w:t>
      </w:r>
      <w:r>
        <w:rPr>
          <w:b w:val="0"/>
          <w:i w:val="0"/>
          <w:smallCaps w:val="0"/>
          <w:strike w:val="0"/>
          <w:sz w:val="22"/>
          <w:highlight w:val="cyan"/>
          <w:u w:val="single"/>
        </w:rPr>
        <w:t>there was</w:t>
      </w:r>
      <w:r>
        <w:rPr>
          <w:b w:val="0"/>
          <w:i w:val="0"/>
          <w:smallCaps w:val="0"/>
          <w:strike w:val="0"/>
          <w:sz w:val="22"/>
          <w:u w:val="single"/>
        </w:rPr>
        <w:t xml:space="preserve"> a </w:t>
      </w:r>
      <w:r>
        <w:rPr>
          <w:b/>
          <w:i w:val="0"/>
          <w:smallCaps w:val="0"/>
          <w:strike w:val="0"/>
          <w:sz w:val="24"/>
          <w:highlight w:val="cyan"/>
          <w:u w:val="single"/>
        </w:rPr>
        <w:t>decline</w:t>
      </w:r>
      <w:r>
        <w:rPr>
          <w:b w:val="0"/>
          <w:i w:val="0"/>
          <w:smallCaps w:val="0"/>
          <w:strike w:val="0"/>
          <w:sz w:val="22"/>
          <w:highlight w:val="cyan"/>
          <w:u w:val="single"/>
        </w:rPr>
        <w:t xml:space="preserve"> of </w:t>
      </w:r>
      <w:r>
        <w:rPr>
          <w:b/>
          <w:i w:val="0"/>
          <w:smallCaps w:val="0"/>
          <w:strike w:val="0"/>
          <w:sz w:val="24"/>
          <w:highlight w:val="cyan"/>
          <w:u w:val="single"/>
        </w:rPr>
        <w:t>18</w:t>
      </w:r>
      <w:r>
        <w:rPr>
          <w:b/>
          <w:i w:val="0"/>
          <w:smallCaps w:val="0"/>
          <w:strike w:val="0"/>
          <w:sz w:val="24"/>
          <w:u w:val="single"/>
        </w:rPr>
        <w:t xml:space="preserve">.7 </w:t>
      </w:r>
      <w:r>
        <w:rPr>
          <w:b/>
          <w:i w:val="0"/>
          <w:smallCaps w:val="0"/>
          <w:strike w:val="0"/>
          <w:sz w:val="24"/>
          <w:highlight w:val="cyan"/>
          <w:u w:val="single"/>
        </w:rPr>
        <w:t>million</w:t>
      </w:r>
      <w:r>
        <w:rPr>
          <w:b w:val="0"/>
          <w:i w:val="0"/>
          <w:smallCaps w:val="0"/>
          <w:strike w:val="0"/>
          <w:sz w:val="22"/>
          <w:highlight w:val="cyan"/>
          <w:u w:val="single"/>
        </w:rPr>
        <w:t xml:space="preserve"> cases</w:t>
      </w:r>
      <w:r>
        <w:rPr>
          <w:b w:val="0"/>
          <w:i w:val="0"/>
          <w:smallCaps w:val="0"/>
          <w:strike w:val="0"/>
          <w:sz w:val="16"/>
          <w:u w:val="none"/>
        </w:rPr>
        <w:t>.</w:t>
      </w:r>
    </w:p>
    <w:p>
      <w:pPr>
        <w:spacing w:after="60"/>
      </w:pPr>
      <w:r>
        <w:rPr>
          <w:b w:val="0"/>
          <w:i w:val="0"/>
          <w:smallCaps w:val="0"/>
          <w:strike w:val="0"/>
          <w:sz w:val="22"/>
          <w:highlight w:val="cyan"/>
          <w:u w:val="single"/>
        </w:rPr>
        <w:t>“While</w:t>
      </w:r>
      <w:r>
        <w:rPr>
          <w:b w:val="0"/>
          <w:i w:val="0"/>
          <w:smallCaps w:val="0"/>
          <w:strike w:val="0"/>
          <w:sz w:val="22"/>
          <w:u w:val="single"/>
        </w:rPr>
        <w:t xml:space="preserve"> there has been a </w:t>
      </w:r>
      <w:r>
        <w:rPr>
          <w:b/>
          <w:i w:val="0"/>
          <w:smallCaps w:val="0"/>
          <w:strike w:val="0"/>
          <w:sz w:val="24"/>
          <w:highlight w:val="cyan"/>
          <w:u w:val="single"/>
        </w:rPr>
        <w:t>gradual recovery</w:t>
      </w:r>
      <w:r>
        <w:rPr>
          <w:b w:val="0"/>
          <w:i w:val="0"/>
          <w:smallCaps w:val="0"/>
          <w:strike w:val="0"/>
          <w:sz w:val="22"/>
          <w:highlight w:val="cyan"/>
          <w:u w:val="single"/>
        </w:rPr>
        <w:t xml:space="preserve"> from</w:t>
      </w:r>
      <w:r>
        <w:rPr>
          <w:b w:val="0"/>
          <w:i w:val="0"/>
          <w:smallCaps w:val="0"/>
          <w:strike w:val="0"/>
          <w:sz w:val="22"/>
          <w:u w:val="single"/>
        </w:rPr>
        <w:t xml:space="preserve"> the </w:t>
      </w:r>
      <w:r>
        <w:rPr>
          <w:b/>
          <w:i w:val="0"/>
          <w:smallCaps w:val="0"/>
          <w:strike w:val="0"/>
          <w:sz w:val="24"/>
          <w:u w:val="single"/>
        </w:rPr>
        <w:t xml:space="preserve">unprecedented </w:t>
      </w:r>
      <w:r>
        <w:rPr>
          <w:b/>
          <w:i w:val="0"/>
          <w:smallCaps w:val="0"/>
          <w:strike w:val="0"/>
          <w:sz w:val="24"/>
          <w:highlight w:val="cyan"/>
          <w:u w:val="single"/>
        </w:rPr>
        <w:t>decline</w:t>
      </w:r>
      <w:r>
        <w:rPr>
          <w:b w:val="0"/>
          <w:i w:val="0"/>
          <w:smallCaps w:val="0"/>
          <w:strike w:val="0"/>
          <w:sz w:val="22"/>
          <w:u w:val="single"/>
        </w:rPr>
        <w:t xml:space="preserve"> in state court filings </w:t>
      </w:r>
      <w:r>
        <w:rPr>
          <w:b w:val="0"/>
          <w:i w:val="0"/>
          <w:smallCaps w:val="0"/>
          <w:strike w:val="0"/>
          <w:sz w:val="22"/>
          <w:highlight w:val="cyan"/>
          <w:u w:val="single"/>
        </w:rPr>
        <w:t>since</w:t>
      </w:r>
      <w:r>
        <w:rPr>
          <w:b w:val="0"/>
          <w:i w:val="0"/>
          <w:smallCaps w:val="0"/>
          <w:strike w:val="0"/>
          <w:sz w:val="22"/>
          <w:u w:val="single"/>
        </w:rPr>
        <w:t xml:space="preserve"> 20</w:t>
      </w:r>
      <w:r>
        <w:rPr>
          <w:b/>
          <w:i w:val="0"/>
          <w:smallCaps w:val="0"/>
          <w:strike w:val="0"/>
          <w:sz w:val="24"/>
          <w:highlight w:val="cyan"/>
          <w:u w:val="single"/>
        </w:rPr>
        <w:t>19</w:t>
      </w:r>
      <w:r>
        <w:rPr>
          <w:b w:val="0"/>
          <w:i w:val="0"/>
          <w:smallCaps w:val="0"/>
          <w:strike w:val="0"/>
          <w:sz w:val="22"/>
          <w:u w:val="single"/>
        </w:rPr>
        <w:t xml:space="preserve">, some </w:t>
      </w:r>
      <w:r>
        <w:rPr>
          <w:b/>
          <w:i w:val="0"/>
          <w:smallCaps w:val="0"/>
          <w:strike w:val="0"/>
          <w:sz w:val="24"/>
          <w:highlight w:val="cyan"/>
          <w:u w:val="single"/>
        </w:rPr>
        <w:t>case</w:t>
      </w:r>
      <w:r>
        <w:rPr>
          <w:b w:val="0"/>
          <w:i w:val="0"/>
          <w:smallCaps w:val="0"/>
          <w:strike w:val="0"/>
          <w:sz w:val="22"/>
          <w:u w:val="single"/>
        </w:rPr>
        <w:t xml:space="preserve"> type</w:t>
      </w:r>
      <w:r>
        <w:rPr>
          <w:b/>
          <w:i w:val="0"/>
          <w:smallCaps w:val="0"/>
          <w:strike w:val="0"/>
          <w:sz w:val="24"/>
          <w:highlight w:val="cyan"/>
          <w:u w:val="single"/>
        </w:rPr>
        <w:t>s</w:t>
      </w:r>
      <w:r>
        <w:rPr>
          <w:b w:val="0"/>
          <w:i w:val="0"/>
          <w:smallCaps w:val="0"/>
          <w:strike w:val="0"/>
          <w:sz w:val="16"/>
          <w:u w:val="none"/>
        </w:rPr>
        <w:t xml:space="preserve">, such as delinquency and traffic, </w:t>
      </w:r>
      <w:r>
        <w:rPr>
          <w:b w:val="0"/>
          <w:i w:val="0"/>
          <w:smallCaps w:val="0"/>
          <w:strike w:val="0"/>
          <w:sz w:val="22"/>
          <w:highlight w:val="cyan"/>
          <w:u w:val="single"/>
        </w:rPr>
        <w:t xml:space="preserve">remain </w:t>
      </w:r>
      <w:r>
        <w:rPr>
          <w:b/>
          <w:i w:val="0"/>
          <w:smallCaps w:val="0"/>
          <w:strike w:val="0"/>
          <w:sz w:val="24"/>
          <w:highlight w:val="cyan"/>
          <w:u w:val="single"/>
        </w:rPr>
        <w:t>well below</w:t>
      </w:r>
      <w:r>
        <w:rPr>
          <w:b w:val="0"/>
          <w:i w:val="0"/>
          <w:smallCaps w:val="0"/>
          <w:strike w:val="0"/>
          <w:sz w:val="22"/>
          <w:u w:val="single"/>
        </w:rPr>
        <w:t xml:space="preserve"> the </w:t>
      </w:r>
      <w:r>
        <w:rPr>
          <w:b w:val="0"/>
          <w:i w:val="0"/>
          <w:smallCaps w:val="0"/>
          <w:strike w:val="0"/>
          <w:sz w:val="22"/>
          <w:highlight w:val="cyan"/>
          <w:u w:val="single"/>
        </w:rPr>
        <w:t>pre-pandemic</w:t>
      </w:r>
      <w:r>
        <w:rPr>
          <w:b w:val="0"/>
          <w:i w:val="0"/>
          <w:smallCaps w:val="0"/>
          <w:strike w:val="0"/>
          <w:sz w:val="22"/>
          <w:u w:val="single"/>
        </w:rPr>
        <w:t xml:space="preserve"> caseload </w:t>
      </w:r>
      <w:r>
        <w:rPr>
          <w:b w:val="0"/>
          <w:i w:val="0"/>
          <w:smallCaps w:val="0"/>
          <w:strike w:val="0"/>
          <w:sz w:val="22"/>
          <w:highlight w:val="cyan"/>
          <w:u w:val="single"/>
        </w:rPr>
        <w:t>levels,”</w:t>
      </w:r>
      <w:r>
        <w:rPr>
          <w:b w:val="0"/>
          <w:i w:val="0"/>
          <w:smallCaps w:val="0"/>
          <w:strike w:val="0"/>
          <w:sz w:val="16"/>
          <w:u w:val="none"/>
        </w:rPr>
        <w:t xml:space="preserve"> said Nicole Waters, NCSC’s Director of Research and Design.</w:t>
      </w:r>
    </w:p>
    <w:p>
      <w:pPr>
        <w:spacing w:after="60"/>
      </w:pPr>
      <w:r>
        <w:rPr>
          <w:b w:val="0"/>
          <w:i w:val="0"/>
          <w:smallCaps w:val="0"/>
          <w:strike w:val="0"/>
          <w:sz w:val="16"/>
          <w:u w:val="none"/>
        </w:rPr>
        <w:t>The CSP is a joint project of NCSC and the Conference of State Court Administrators that uses comparable data sourced directly from state courts to publish national trends and analyze caseload statistics, providing useful insights that inform policy, budgetary, and court management decisions.</w:t>
      </w:r>
    </w:p>
    <w:p>
      <w:pPr>
        <w:spacing w:after="60"/>
      </w:pPr>
      <w:r>
        <w:rPr>
          <w:b w:val="0"/>
          <w:i w:val="0"/>
          <w:smallCaps w:val="0"/>
          <w:strike w:val="0"/>
          <w:sz w:val="16"/>
          <w:u w:val="none"/>
        </w:rPr>
        <w:t>Between 2021 and 2022, there was an across-the-board increase in incoming filings for all major case types, including civil (5%), criminal (2%), domestic relations (2%), and traffic (1%).</w:t>
      </w:r>
    </w:p>
    <w:p>
      <w:pPr>
        <w:spacing w:after="60"/>
      </w:pPr>
      <w:r>
        <w:rPr>
          <w:b w:val="0"/>
          <w:i w:val="0"/>
          <w:smallCaps w:val="0"/>
          <w:strike w:val="0"/>
          <w:sz w:val="16"/>
          <w:u w:val="none"/>
        </w:rPr>
        <w:t>Traffic Cases Fall off a Cliff</w:t>
      </w:r>
    </w:p>
    <w:p>
      <w:pPr>
        <w:spacing w:after="60"/>
      </w:pPr>
      <w:r>
        <w:rPr>
          <w:b w:val="0"/>
          <w:i w:val="0"/>
          <w:smallCaps w:val="0"/>
          <w:strike w:val="0"/>
          <w:sz w:val="16"/>
          <w:u w:val="none"/>
        </w:rPr>
        <w:t xml:space="preserve">Traffic and local ordinance cases make up nearly half (30.3 million) of all incoming cases to state courts. While the Federal Highway Administration reports that Americans are driving as much as they did before the pandemic, </w:t>
      </w:r>
      <w:r>
        <w:rPr>
          <w:b w:val="0"/>
          <w:i w:val="0"/>
          <w:smallCaps w:val="0"/>
          <w:strike w:val="0"/>
          <w:sz w:val="22"/>
          <w:highlight w:val="cyan"/>
          <w:u w:val="single"/>
        </w:rPr>
        <w:t xml:space="preserve">incoming cases are </w:t>
      </w:r>
      <w:r>
        <w:rPr>
          <w:b/>
          <w:i w:val="0"/>
          <w:smallCaps w:val="0"/>
          <w:strike w:val="0"/>
          <w:sz w:val="24"/>
          <w:highlight w:val="cyan"/>
          <w:u w:val="single"/>
        </w:rPr>
        <w:t>down 29%</w:t>
      </w:r>
      <w:r>
        <w:rPr>
          <w:b w:val="0"/>
          <w:i w:val="0"/>
          <w:smallCaps w:val="0"/>
          <w:strike w:val="0"/>
          <w:sz w:val="22"/>
          <w:u w:val="single"/>
        </w:rPr>
        <w:t xml:space="preserve"> from 2019 filings</w:t>
      </w:r>
      <w:r>
        <w:rPr>
          <w:b w:val="0"/>
          <w:i w:val="0"/>
          <w:smallCaps w:val="0"/>
          <w:strike w:val="0"/>
          <w:sz w:val="16"/>
          <w:u w:val="none"/>
        </w:rPr>
        <w:t>.</w:t>
      </w:r>
    </w:p>
    <w:p>
      <w:pPr>
        <w:spacing w:after="60"/>
      </w:pPr>
      <w:r>
        <w:rPr>
          <w:b w:val="0"/>
          <w:i w:val="0"/>
          <w:smallCaps w:val="0"/>
          <w:strike w:val="0"/>
          <w:sz w:val="16"/>
          <w:u w:val="none"/>
        </w:rPr>
        <w:t>Waters stated that the traffic trend is so striking that starting next month, CSP will issue a series of findings that take a deeper dive into traffic trends to uncover the “drivers” behind this trend. CSP will also explore anticipated impacts and ways courts can respond to potential caseload reductions.</w:t>
      </w:r>
    </w:p>
    <w:p>
      <w:pPr>
        <w:spacing w:after="60"/>
      </w:pPr>
      <w:r>
        <w:rPr>
          <w:b/>
          <w:i w:val="0"/>
          <w:smallCaps w:val="0"/>
          <w:strike w:val="0"/>
          <w:sz w:val="24"/>
          <w:u w:val="single"/>
        </w:rPr>
        <w:t>Juvenile</w:t>
      </w:r>
      <w:r>
        <w:rPr>
          <w:b w:val="0"/>
          <w:i w:val="0"/>
          <w:smallCaps w:val="0"/>
          <w:strike w:val="0"/>
          <w:sz w:val="22"/>
          <w:u w:val="single"/>
        </w:rPr>
        <w:t xml:space="preserve"> cases experienced a </w:t>
      </w:r>
      <w:r>
        <w:rPr>
          <w:b/>
          <w:i w:val="0"/>
          <w:smallCaps w:val="0"/>
          <w:strike w:val="0"/>
          <w:sz w:val="24"/>
          <w:u w:val="single"/>
        </w:rPr>
        <w:t>decline</w:t>
      </w:r>
      <w:r>
        <w:rPr>
          <w:b w:val="0"/>
          <w:i w:val="0"/>
          <w:smallCaps w:val="0"/>
          <w:strike w:val="0"/>
          <w:sz w:val="22"/>
          <w:u w:val="single"/>
        </w:rPr>
        <w:t xml:space="preserve"> in incoming cases from 2020 to 2021</w:t>
      </w:r>
      <w:r>
        <w:rPr>
          <w:b w:val="0"/>
          <w:i w:val="0"/>
          <w:smallCaps w:val="0"/>
          <w:strike w:val="0"/>
          <w:sz w:val="16"/>
          <w:u w:val="none"/>
        </w:rPr>
        <w:t xml:space="preserve"> but showed a 7% increase in 2022, mainly due to an increase in incoming delinquency cases. </w:t>
      </w:r>
      <w:r>
        <w:rPr>
          <w:b w:val="0"/>
          <w:i w:val="0"/>
          <w:smallCaps w:val="0"/>
          <w:strike w:val="0"/>
          <w:sz w:val="22"/>
          <w:u w:val="single"/>
        </w:rPr>
        <w:t xml:space="preserve">The number of delinquency filings in 2022 was </w:t>
      </w:r>
      <w:r>
        <w:rPr>
          <w:b/>
          <w:i w:val="0"/>
          <w:smallCaps w:val="0"/>
          <w:strike w:val="0"/>
          <w:sz w:val="24"/>
          <w:u w:val="single"/>
        </w:rPr>
        <w:t>still down by 23%</w:t>
      </w:r>
      <w:r>
        <w:rPr>
          <w:b w:val="0"/>
          <w:i w:val="0"/>
          <w:smallCaps w:val="0"/>
          <w:strike w:val="0"/>
          <w:sz w:val="22"/>
          <w:u w:val="single"/>
        </w:rPr>
        <w:t xml:space="preserve"> compared to 2019</w:t>
      </w:r>
      <w:r>
        <w:rPr>
          <w:b w:val="0"/>
          <w:i w:val="0"/>
          <w:smallCaps w:val="0"/>
          <w:strike w:val="0"/>
          <w:sz w:val="16"/>
          <w:u w:val="none"/>
        </w:rPr>
        <w:t>.</w:t>
      </w:r>
    </w:p>
    <w:p>
      <w:pPr>
        <w:spacing w:after="60"/>
      </w:pPr>
      <w:r>
        <w:rPr>
          <w:b w:val="0"/>
          <w:i w:val="0"/>
          <w:smallCaps w:val="0"/>
          <w:strike w:val="0"/>
          <w:sz w:val="16"/>
          <w:u w:val="none"/>
        </w:rPr>
        <w:t>There was an increase in civil cases related to real property, contracts, civil appeals, mental health, and probate/estate matters. Contract disputes comprised 46% of civil cases. Contract cases typically include employment disputes, landlord/tenant disputes, mortgage foreclosure, and debt collection.</w:t>
      </w:r>
    </w:p>
    <w:p>
      <w:pPr>
        <w:spacing w:after="60"/>
      </w:pPr>
      <w:r>
        <w:rPr>
          <w:b w:val="0"/>
          <w:i w:val="0"/>
          <w:smallCaps w:val="0"/>
          <w:strike w:val="0"/>
          <w:sz w:val="22"/>
          <w:highlight w:val="cyan"/>
          <w:u w:val="single"/>
        </w:rPr>
        <w:t>Criminal</w:t>
      </w:r>
      <w:r>
        <w:rPr>
          <w:b w:val="0"/>
          <w:i w:val="0"/>
          <w:smallCaps w:val="0"/>
          <w:strike w:val="0"/>
          <w:sz w:val="22"/>
          <w:u w:val="single"/>
        </w:rPr>
        <w:t xml:space="preserve"> cases </w:t>
      </w:r>
      <w:r>
        <w:rPr>
          <w:b/>
          <w:i w:val="0"/>
          <w:smallCaps w:val="0"/>
          <w:strike w:val="0"/>
          <w:sz w:val="24"/>
          <w:u w:val="single"/>
        </w:rPr>
        <w:t>slightly</w:t>
      </w:r>
      <w:r>
        <w:rPr>
          <w:b w:val="0"/>
          <w:i w:val="0"/>
          <w:smallCaps w:val="0"/>
          <w:strike w:val="0"/>
          <w:sz w:val="22"/>
          <w:u w:val="single"/>
        </w:rPr>
        <w:t xml:space="preserve"> increased in 2022, showing a 2% rise from 2021. </w:t>
      </w:r>
      <w:r>
        <w:rPr>
          <w:b/>
          <w:i w:val="0"/>
          <w:smallCaps w:val="0"/>
          <w:strike w:val="0"/>
          <w:sz w:val="24"/>
          <w:u w:val="single"/>
        </w:rPr>
        <w:t>However</w:t>
      </w:r>
      <w:r>
        <w:rPr>
          <w:b w:val="0"/>
          <w:i w:val="0"/>
          <w:smallCaps w:val="0"/>
          <w:strike w:val="0"/>
          <w:sz w:val="22"/>
          <w:u w:val="single"/>
        </w:rPr>
        <w:t xml:space="preserve">, they are still </w:t>
      </w:r>
      <w:r>
        <w:rPr>
          <w:b/>
          <w:i w:val="0"/>
          <w:smallCaps w:val="0"/>
          <w:strike w:val="0"/>
          <w:sz w:val="24"/>
          <w:highlight w:val="cyan"/>
          <w:u w:val="single"/>
        </w:rPr>
        <w:t>down by 14%</w:t>
      </w:r>
      <w:r>
        <w:rPr>
          <w:b w:val="0"/>
          <w:i w:val="0"/>
          <w:smallCaps w:val="0"/>
          <w:strike w:val="0"/>
          <w:sz w:val="22"/>
          <w:u w:val="single"/>
        </w:rPr>
        <w:t xml:space="preserve"> from 2019</w:t>
      </w:r>
      <w:r>
        <w:rPr>
          <w:b w:val="0"/>
          <w:i w:val="0"/>
          <w:smallCaps w:val="0"/>
          <w:strike w:val="0"/>
          <w:sz w:val="16"/>
          <w:u w:val="none"/>
        </w:rPr>
        <w:t xml:space="preserve">. Total estimated incoming criminal cases was 15.6 million in 2022. Of these, 11.5 million were reported as misdemeanor cases. This is an increase of 1% from 2021 and a 16% drop from 2019. </w:t>
      </w:r>
      <w:r>
        <w:rPr>
          <w:b w:val="0"/>
          <w:i w:val="0"/>
          <w:smallCaps w:val="0"/>
          <w:strike w:val="0"/>
          <w:sz w:val="22"/>
          <w:u w:val="single"/>
        </w:rPr>
        <w:t xml:space="preserve">Meanwhile, </w:t>
      </w:r>
      <w:r>
        <w:rPr>
          <w:b/>
          <w:i w:val="0"/>
          <w:smallCaps w:val="0"/>
          <w:strike w:val="0"/>
          <w:sz w:val="24"/>
          <w:highlight w:val="cyan"/>
          <w:u w:val="single"/>
        </w:rPr>
        <w:t>felony</w:t>
      </w:r>
      <w:r>
        <w:rPr>
          <w:b w:val="0"/>
          <w:i w:val="0"/>
          <w:smallCaps w:val="0"/>
          <w:strike w:val="0"/>
          <w:sz w:val="22"/>
          <w:u w:val="single"/>
        </w:rPr>
        <w:t xml:space="preserve"> case</w:t>
      </w:r>
      <w:r>
        <w:rPr>
          <w:b/>
          <w:i w:val="0"/>
          <w:smallCaps w:val="0"/>
          <w:strike w:val="0"/>
          <w:sz w:val="24"/>
          <w:highlight w:val="cyan"/>
          <w:u w:val="single"/>
        </w:rPr>
        <w:t>s</w:t>
      </w:r>
      <w:r>
        <w:rPr>
          <w:b w:val="0"/>
          <w:i w:val="0"/>
          <w:smallCaps w:val="0"/>
          <w:strike w:val="0"/>
          <w:sz w:val="22"/>
          <w:u w:val="single"/>
        </w:rPr>
        <w:t xml:space="preserve"> showed a </w:t>
      </w:r>
      <w:r>
        <w:rPr>
          <w:b/>
          <w:i w:val="0"/>
          <w:smallCaps w:val="0"/>
          <w:strike w:val="0"/>
          <w:sz w:val="24"/>
          <w:highlight w:val="cyan"/>
          <w:u w:val="single"/>
        </w:rPr>
        <w:t>4%</w:t>
      </w:r>
      <w:r>
        <w:rPr>
          <w:b/>
          <w:i w:val="0"/>
          <w:smallCaps w:val="0"/>
          <w:strike w:val="0"/>
          <w:sz w:val="24"/>
          <w:u w:val="single"/>
        </w:rPr>
        <w:t xml:space="preserve"> decrease</w:t>
      </w:r>
      <w:r>
        <w:rPr>
          <w:b w:val="0"/>
          <w:i w:val="0"/>
          <w:smallCaps w:val="0"/>
          <w:strike w:val="0"/>
          <w:sz w:val="22"/>
          <w:u w:val="single"/>
        </w:rPr>
        <w:t xml:space="preserve"> from 2021, with 2.9 million cases reported</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