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Underlying data</w:t>
      </w:r>
      <w:r>
        <w:rPr>
          <w:b/>
          <w:i w:val="0"/>
          <w:smallCaps w:val="0"/>
          <w:strike w:val="0"/>
          <w:sz w:val="26"/>
          <w:u w:val="none"/>
        </w:rPr>
        <w:t xml:space="preserve"> proves </w:t>
      </w:r>
      <w:r>
        <w:rPr>
          <w:b/>
          <w:i w:val="0"/>
          <w:smallCaps w:val="0"/>
          <w:strike w:val="0"/>
          <w:sz w:val="26"/>
          <w:u w:val="single"/>
        </w:rPr>
        <w:t>overall</w:t>
      </w:r>
      <w:r>
        <w:rPr>
          <w:b/>
          <w:i w:val="0"/>
          <w:smallCaps w:val="0"/>
          <w:strike w:val="0"/>
          <w:sz w:val="26"/>
          <w:u w:val="none"/>
        </w:rPr>
        <w:t xml:space="preserve"> patent litigation is </w:t>
      </w:r>
      <w:r>
        <w:rPr>
          <w:b/>
          <w:i w:val="0"/>
          <w:smallCaps w:val="0"/>
          <w:strike w:val="0"/>
          <w:sz w:val="26"/>
          <w:u w:val="single"/>
        </w:rPr>
        <w:t>plummeting</w:t>
      </w:r>
      <w:r>
        <w:rPr>
          <w:b/>
          <w:i w:val="0"/>
          <w:smallCaps w:val="0"/>
          <w:strike w:val="0"/>
          <w:sz w:val="26"/>
          <w:u w:val="none"/>
        </w:rPr>
        <w:t>.</w:t>
      </w:r>
    </w:p>
    <w:p>
      <w:pPr>
        <w:spacing w:after="80"/>
      </w:pPr>
      <w:r>
        <w:rPr>
          <w:b/>
          <w:i w:val="0"/>
          <w:smallCaps w:val="0"/>
          <w:strike w:val="0"/>
          <w:sz w:val="26"/>
          <w:u w:val="none"/>
        </w:rPr>
        <w:t xml:space="preserve">Carlson ’24 </w:t>
      </w:r>
      <w:r>
        <w:rPr>
          <w:b w:val="0"/>
          <w:i w:val="0"/>
          <w:smallCaps w:val="0"/>
          <w:strike w:val="0"/>
          <w:u w:val="none"/>
        </w:rPr>
        <w:t xml:space="preserve">[Julie; May 6; Director of Economic Strategy at Qualcomm, former advisor to FTC Chairman Joseph Simons and Commissioner William Kovacic, former Professor of Economics at Trinity University, Ph.D. in Economics from Michigan State University; IP Watchdog, “New Data Show There Is a Problem with the U.S. Patent System—But It’s Not Patent Trolls,” </w:t>
      </w:r>
      <w:r>
        <w:rPr>
          <w:b w:val="0"/>
          <w:i w:val="0"/>
          <w:smallCaps w:val="0"/>
          <w:strike w:val="0"/>
          <w:u w:val="none"/>
        </w:rPr>
        <w:t>]</w:t>
      </w:r>
    </w:p>
    <w:p>
      <w:pPr>
        <w:spacing w:after="60"/>
      </w:pPr>
      <w:r>
        <w:rPr>
          <w:b w:val="0"/>
          <w:i w:val="0"/>
          <w:smallCaps w:val="0"/>
          <w:strike w:val="0"/>
          <w:sz w:val="22"/>
          <w:highlight w:val="cyan"/>
          <w:u w:val="single"/>
        </w:rPr>
        <w:t>If</w:t>
      </w:r>
      <w:r>
        <w:rPr>
          <w:b w:val="0"/>
          <w:i w:val="0"/>
          <w:smallCaps w:val="0"/>
          <w:strike w:val="0"/>
          <w:sz w:val="22"/>
          <w:u w:val="single"/>
        </w:rPr>
        <w:t xml:space="preserve"> the </w:t>
      </w:r>
      <w:r>
        <w:rPr>
          <w:b/>
          <w:i w:val="0"/>
          <w:smallCaps w:val="0"/>
          <w:strike w:val="0"/>
          <w:sz w:val="24"/>
          <w:highlight w:val="cyan"/>
          <w:u w:val="single"/>
        </w:rPr>
        <w:t>headlines</w:t>
      </w:r>
      <w:r>
        <w:rPr>
          <w:b w:val="0"/>
          <w:i w:val="0"/>
          <w:smallCaps w:val="0"/>
          <w:strike w:val="0"/>
          <w:sz w:val="22"/>
          <w:highlight w:val="cyan"/>
          <w:u w:val="single"/>
        </w:rPr>
        <w:t xml:space="preserve"> are</w:t>
      </w:r>
      <w:r>
        <w:rPr>
          <w:b w:val="0"/>
          <w:i w:val="0"/>
          <w:smallCaps w:val="0"/>
          <w:strike w:val="0"/>
          <w:sz w:val="22"/>
          <w:u w:val="single"/>
        </w:rPr>
        <w:t xml:space="preserve"> to be </w:t>
      </w:r>
      <w:r>
        <w:rPr>
          <w:b w:val="0"/>
          <w:i w:val="0"/>
          <w:smallCaps w:val="0"/>
          <w:strike w:val="0"/>
          <w:sz w:val="22"/>
          <w:highlight w:val="cyan"/>
          <w:u w:val="single"/>
        </w:rPr>
        <w:t xml:space="preserve">believed, </w:t>
      </w:r>
      <w:r>
        <w:rPr>
          <w:b/>
          <w:i w:val="0"/>
          <w:smallCaps w:val="0"/>
          <w:strike w:val="0"/>
          <w:sz w:val="24"/>
          <w:highlight w:val="cyan"/>
          <w:u w:val="single"/>
        </w:rPr>
        <w:t>every aspect</w:t>
      </w:r>
      <w:r>
        <w:rPr>
          <w:b w:val="0"/>
          <w:i w:val="0"/>
          <w:smallCaps w:val="0"/>
          <w:strike w:val="0"/>
          <w:sz w:val="22"/>
          <w:highlight w:val="cyan"/>
          <w:u w:val="single"/>
        </w:rPr>
        <w:t xml:space="preserve"> of</w:t>
      </w:r>
      <w:r>
        <w:rPr>
          <w:b w:val="0"/>
          <w:i w:val="0"/>
          <w:smallCaps w:val="0"/>
          <w:strike w:val="0"/>
          <w:sz w:val="22"/>
          <w:u w:val="single"/>
        </w:rPr>
        <w:t xml:space="preserve"> American </w:t>
      </w:r>
      <w:r>
        <w:rPr>
          <w:b w:val="0"/>
          <w:i w:val="0"/>
          <w:smallCaps w:val="0"/>
          <w:strike w:val="0"/>
          <w:sz w:val="22"/>
          <w:highlight w:val="cyan"/>
          <w:u w:val="single"/>
        </w:rPr>
        <w:t>life</w:t>
      </w:r>
      <w:r>
        <w:rPr>
          <w:b w:val="0"/>
          <w:i w:val="0"/>
          <w:smallCaps w:val="0"/>
          <w:strike w:val="0"/>
          <w:sz w:val="16"/>
          <w:u w:val="none"/>
        </w:rPr>
        <w:t xml:space="preserve">, from </w:t>
      </w:r>
      <w:r>
        <w:rPr>
          <w:b w:val="0"/>
          <w:i w:val="0"/>
          <w:smallCaps w:val="0"/>
          <w:strike w:val="0"/>
          <w:sz w:val="16"/>
          <w:u w:val="none"/>
        </w:rPr>
        <w:t xml:space="preserve"> to </w:t>
      </w:r>
      <w:r>
        <w:rPr>
          <w:b w:val="0"/>
          <w:i w:val="0"/>
          <w:smallCaps w:val="0"/>
          <w:strike w:val="0"/>
          <w:sz w:val="16"/>
          <w:u w:val="none"/>
        </w:rPr>
        <w:t xml:space="preserve">, </w:t>
      </w:r>
      <w:r>
        <w:rPr>
          <w:b w:val="0"/>
          <w:i w:val="0"/>
          <w:smallCaps w:val="0"/>
          <w:strike w:val="0"/>
          <w:sz w:val="22"/>
          <w:highlight w:val="cyan"/>
          <w:u w:val="single"/>
        </w:rPr>
        <w:t xml:space="preserve">is under threat due to </w:t>
      </w:r>
      <w:r>
        <w:rPr>
          <w:b/>
          <w:i w:val="0"/>
          <w:smallCaps w:val="0"/>
          <w:strike w:val="0"/>
          <w:sz w:val="24"/>
          <w:highlight w:val="cyan"/>
          <w:u w:val="single"/>
        </w:rPr>
        <w:t>excessive</w:t>
      </w:r>
      <w:r>
        <w:rPr>
          <w:b/>
          <w:i w:val="0"/>
          <w:smallCaps w:val="0"/>
          <w:strike w:val="0"/>
          <w:sz w:val="24"/>
          <w:u w:val="single"/>
        </w:rPr>
        <w:t xml:space="preserve"> patent </w:t>
      </w:r>
      <w:r>
        <w:rPr>
          <w:b/>
          <w:i w:val="0"/>
          <w:smallCaps w:val="0"/>
          <w:strike w:val="0"/>
          <w:sz w:val="24"/>
          <w:highlight w:val="cyan"/>
          <w:u w:val="single"/>
        </w:rPr>
        <w:t>litigation</w:t>
      </w:r>
      <w:r>
        <w:rPr>
          <w:b w:val="0"/>
          <w:i w:val="0"/>
          <w:smallCaps w:val="0"/>
          <w:strike w:val="0"/>
          <w:sz w:val="22"/>
          <w:u w:val="single"/>
        </w:rPr>
        <w:t xml:space="preserve">. While these </w:t>
      </w:r>
      <w:r>
        <w:rPr>
          <w:b/>
          <w:i w:val="0"/>
          <w:smallCaps w:val="0"/>
          <w:strike w:val="0"/>
          <w:sz w:val="24"/>
          <w:u w:val="single"/>
        </w:rPr>
        <w:t>anecdotes</w:t>
      </w:r>
      <w:r>
        <w:rPr>
          <w:b w:val="0"/>
          <w:i w:val="0"/>
          <w:smallCaps w:val="0"/>
          <w:strike w:val="0"/>
          <w:sz w:val="22"/>
          <w:u w:val="single"/>
        </w:rPr>
        <w:t xml:space="preserve"> may seem compelling, it is important to </w:t>
      </w:r>
      <w:r>
        <w:rPr>
          <w:b w:val="0"/>
          <w:i w:val="0"/>
          <w:smallCaps w:val="0"/>
          <w:strike w:val="0"/>
          <w:sz w:val="22"/>
          <w:highlight w:val="cyan"/>
          <w:u w:val="single"/>
        </w:rPr>
        <w:t>look at the</w:t>
      </w:r>
      <w:r>
        <w:rPr>
          <w:b w:val="0"/>
          <w:i w:val="0"/>
          <w:smallCaps w:val="0"/>
          <w:strike w:val="0"/>
          <w:sz w:val="22"/>
          <w:u w:val="single"/>
        </w:rPr>
        <w:t xml:space="preserve"> </w:t>
      </w:r>
      <w:r>
        <w:rPr>
          <w:b/>
          <w:i w:val="0"/>
          <w:smallCaps w:val="0"/>
          <w:strike w:val="0"/>
          <w:sz w:val="24"/>
          <w:u w:val="single"/>
        </w:rPr>
        <w:t xml:space="preserve">underlying </w:t>
      </w:r>
      <w:r>
        <w:rPr>
          <w:b/>
          <w:i w:val="0"/>
          <w:smallCaps w:val="0"/>
          <w:strike w:val="0"/>
          <w:sz w:val="24"/>
          <w:highlight w:val="cyan"/>
          <w:u w:val="single"/>
        </w:rPr>
        <w:t>data</w:t>
      </w:r>
      <w:r>
        <w:rPr>
          <w:b w:val="0"/>
          <w:i w:val="0"/>
          <w:smallCaps w:val="0"/>
          <w:strike w:val="0"/>
          <w:sz w:val="22"/>
          <w:u w:val="single"/>
        </w:rPr>
        <w:t xml:space="preserve"> before drawing any conclusions about the state of the U.S. patent system</w:t>
      </w:r>
      <w:r>
        <w:rPr>
          <w:b w:val="0"/>
          <w:i w:val="0"/>
          <w:smallCaps w:val="0"/>
          <w:strike w:val="0"/>
          <w:sz w:val="16"/>
          <w:u w:val="none"/>
        </w:rPr>
        <w:t xml:space="preserve">. As an economist and one of the authors of the Federal Trade Commission’s </w:t>
      </w:r>
      <w:r>
        <w:rPr>
          <w:b w:val="0"/>
          <w:i w:val="0"/>
          <w:smallCaps w:val="0"/>
          <w:strike w:val="0"/>
          <w:sz w:val="16"/>
          <w:u w:val="none"/>
        </w:rPr>
        <w:t xml:space="preserve"> (PAEs), I understand the value data can bring to patent policy debates, and have also seen firsthand the damage evidence-free policymaking has on America’s innovation ecosystem. On World IP Day, Marcum, LLP, a leading accounting and advisory firm, released a </w:t>
      </w:r>
      <w:r>
        <w:rPr>
          <w:b w:val="0"/>
          <w:i w:val="0"/>
          <w:smallCaps w:val="0"/>
          <w:strike w:val="0"/>
          <w:sz w:val="16"/>
          <w:u w:val="none"/>
        </w:rPr>
        <w:t xml:space="preserve"> that examines 20 years of patent infringement decisions at U.S. district courts. A careful reading of their report reveals that not only is patent litigation not excessive, but patent owners struggle to enforce their patents against infringers. The report shows that </w:t>
      </w:r>
      <w:r>
        <w:rPr>
          <w:b/>
          <w:i w:val="0"/>
          <w:smallCaps w:val="0"/>
          <w:strike w:val="0"/>
          <w:sz w:val="24"/>
          <w:highlight w:val="cyan"/>
          <w:u w:val="single"/>
        </w:rPr>
        <w:t>overall</w:t>
      </w:r>
      <w:r>
        <w:rPr>
          <w:b w:val="0"/>
          <w:i w:val="0"/>
          <w:smallCaps w:val="0"/>
          <w:strike w:val="0"/>
          <w:sz w:val="22"/>
          <w:u w:val="single"/>
        </w:rPr>
        <w:t xml:space="preserve"> patent </w:t>
      </w:r>
      <w:r>
        <w:rPr>
          <w:b w:val="0"/>
          <w:i w:val="0"/>
          <w:smallCaps w:val="0"/>
          <w:strike w:val="0"/>
          <w:sz w:val="22"/>
          <w:highlight w:val="cyan"/>
          <w:u w:val="single"/>
        </w:rPr>
        <w:t xml:space="preserve">litigation is </w:t>
      </w:r>
      <w:r>
        <w:rPr>
          <w:b/>
          <w:i w:val="0"/>
          <w:smallCaps w:val="0"/>
          <w:strike w:val="0"/>
          <w:sz w:val="24"/>
          <w:highlight w:val="cyan"/>
          <w:u w:val="single"/>
        </w:rPr>
        <w:t>declining</w:t>
      </w:r>
      <w:r>
        <w:rPr>
          <w:b w:val="0"/>
          <w:i w:val="0"/>
          <w:smallCaps w:val="0"/>
          <w:strike w:val="0"/>
          <w:sz w:val="22"/>
          <w:u w:val="single"/>
        </w:rPr>
        <w:t xml:space="preserve">, injunction grants are low,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4"/>
          <w:u w:val="single"/>
        </w:rPr>
        <w:t>litigation</w:t>
      </w:r>
      <w:r>
        <w:rPr>
          <w:b w:val="0"/>
          <w:i w:val="0"/>
          <w:smallCaps w:val="0"/>
          <w:strike w:val="0"/>
          <w:sz w:val="22"/>
          <w:u w:val="single"/>
        </w:rPr>
        <w:t xml:space="preserve"> by </w:t>
      </w:r>
      <w:r>
        <w:rPr>
          <w:b/>
          <w:i w:val="0"/>
          <w:smallCaps w:val="0"/>
          <w:strike w:val="0"/>
          <w:sz w:val="24"/>
          <w:u w:val="single"/>
        </w:rPr>
        <w:t>n</w:t>
      </w:r>
      <w:r>
        <w:rPr>
          <w:b w:val="0"/>
          <w:i w:val="0"/>
          <w:smallCaps w:val="0"/>
          <w:strike w:val="0"/>
          <w:sz w:val="22"/>
          <w:u w:val="single"/>
        </w:rPr>
        <w:t>on-</w:t>
      </w:r>
      <w:r>
        <w:rPr>
          <w:b/>
          <w:i w:val="0"/>
          <w:smallCaps w:val="0"/>
          <w:strike w:val="0"/>
          <w:sz w:val="24"/>
          <w:u w:val="single"/>
        </w:rPr>
        <w:t>p</w:t>
      </w:r>
      <w:r>
        <w:rPr>
          <w:b w:val="0"/>
          <w:i w:val="0"/>
          <w:smallCaps w:val="0"/>
          <w:strike w:val="0"/>
          <w:sz w:val="22"/>
          <w:u w:val="single"/>
        </w:rPr>
        <w:t xml:space="preserve">racticing </w:t>
      </w:r>
      <w:r>
        <w:rPr>
          <w:b/>
          <w:i w:val="0"/>
          <w:smallCaps w:val="0"/>
          <w:strike w:val="0"/>
          <w:sz w:val="24"/>
          <w:u w:val="single"/>
        </w:rPr>
        <w:t>e</w:t>
      </w:r>
      <w:r>
        <w:rPr>
          <w:b w:val="0"/>
          <w:i w:val="0"/>
          <w:smallCaps w:val="0"/>
          <w:strike w:val="0"/>
          <w:sz w:val="22"/>
          <w:u w:val="single"/>
        </w:rPr>
        <w:t>ntitie</w:t>
      </w:r>
      <w:r>
        <w:rPr>
          <w:b/>
          <w:i w:val="0"/>
          <w:smallCaps w:val="0"/>
          <w:strike w:val="0"/>
          <w:sz w:val="24"/>
          <w:u w:val="single"/>
        </w:rPr>
        <w:t>s</w:t>
      </w:r>
      <w:r>
        <w:rPr>
          <w:b w:val="0"/>
          <w:i w:val="0"/>
          <w:smallCaps w:val="0"/>
          <w:strike w:val="0"/>
          <w:sz w:val="16"/>
          <w:u w:val="none"/>
        </w:rPr>
        <w:t xml:space="preserve"> (NPEs) </w:t>
      </w:r>
      <w:r>
        <w:rPr>
          <w:b w:val="0"/>
          <w:i w:val="0"/>
          <w:smallCaps w:val="0"/>
          <w:strike w:val="0"/>
          <w:sz w:val="22"/>
          <w:u w:val="single"/>
        </w:rPr>
        <w:t xml:space="preserve">is </w:t>
      </w:r>
      <w:r>
        <w:rPr>
          <w:b/>
          <w:i w:val="0"/>
          <w:smallCaps w:val="0"/>
          <w:strike w:val="0"/>
          <w:sz w:val="24"/>
          <w:highlight w:val="cyan"/>
          <w:u w:val="single"/>
        </w:rPr>
        <w:t>not pervasive</w:t>
      </w:r>
      <w:r>
        <w:rPr>
          <w:b w:val="0"/>
          <w:i w:val="0"/>
          <w:smallCaps w:val="0"/>
          <w:strike w:val="0"/>
          <w:sz w:val="16"/>
          <w:u w:val="none"/>
        </w:rPr>
        <w:t>.</w:t>
      </w:r>
    </w:p>
    <w:p>
      <w:pPr>
        <w:spacing w:after="60"/>
      </w:pPr>
      <w:r>
        <w:rPr>
          <w:b w:val="0"/>
          <w:i w:val="0"/>
          <w:smallCaps w:val="0"/>
          <w:strike w:val="0"/>
          <w:sz w:val="16"/>
          <w:u w:val="none"/>
        </w:rPr>
        <w:t>Patent Litigation Is Declining</w:t>
      </w:r>
    </w:p>
    <w:p>
      <w:pPr>
        <w:spacing w:after="60"/>
      </w:pPr>
      <w:r>
        <w:rPr>
          <w:b w:val="0"/>
          <w:i w:val="0"/>
          <w:smallCaps w:val="0"/>
          <w:strike w:val="0"/>
          <w:sz w:val="22"/>
          <w:u w:val="single"/>
        </w:rPr>
        <w:t xml:space="preserve">The </w:t>
      </w:r>
      <w:r>
        <w:rPr>
          <w:b/>
          <w:i w:val="0"/>
          <w:smallCaps w:val="0"/>
          <w:strike w:val="0"/>
          <w:sz w:val="24"/>
          <w:u w:val="single"/>
        </w:rPr>
        <w:t xml:space="preserve">first </w:t>
      </w:r>
      <w:r>
        <w:rPr>
          <w:b/>
          <w:i w:val="0"/>
          <w:smallCaps w:val="0"/>
          <w:strike w:val="0"/>
          <w:sz w:val="24"/>
          <w:highlight w:val="cyan"/>
          <w:u w:val="single"/>
        </w:rPr>
        <w:t>graph</w:t>
      </w:r>
      <w:r>
        <w:rPr>
          <w:b w:val="0"/>
          <w:i w:val="0"/>
          <w:smallCaps w:val="0"/>
          <w:strike w:val="0"/>
          <w:sz w:val="22"/>
          <w:u w:val="single"/>
        </w:rPr>
        <w:t xml:space="preserve"> in the report </w:t>
      </w:r>
      <w:r>
        <w:rPr>
          <w:b/>
          <w:i w:val="0"/>
          <w:smallCaps w:val="0"/>
          <w:strike w:val="0"/>
          <w:sz w:val="24"/>
          <w:u w:val="single"/>
        </w:rPr>
        <w:t>clearly dispels</w:t>
      </w:r>
      <w:r>
        <w:rPr>
          <w:b w:val="0"/>
          <w:i w:val="0"/>
          <w:smallCaps w:val="0"/>
          <w:strike w:val="0"/>
          <w:sz w:val="22"/>
          <w:u w:val="single"/>
        </w:rPr>
        <w:t xml:space="preserve"> the notion that patent litigation is excessive. It </w:t>
      </w:r>
      <w:r>
        <w:rPr>
          <w:b w:val="0"/>
          <w:i w:val="0"/>
          <w:smallCaps w:val="0"/>
          <w:strike w:val="0"/>
          <w:sz w:val="22"/>
          <w:highlight w:val="cyan"/>
          <w:u w:val="single"/>
        </w:rPr>
        <w:t xml:space="preserve">shows the </w:t>
      </w:r>
      <w:r>
        <w:rPr>
          <w:b/>
          <w:i w:val="0"/>
          <w:smallCaps w:val="0"/>
          <w:strike w:val="0"/>
          <w:sz w:val="24"/>
          <w:highlight w:val="cyan"/>
          <w:u w:val="single"/>
        </w:rPr>
        <w:t>trends</w:t>
      </w:r>
      <w:r>
        <w:rPr>
          <w:b w:val="0"/>
          <w:i w:val="0"/>
          <w:smallCaps w:val="0"/>
          <w:strike w:val="0"/>
          <w:sz w:val="22"/>
          <w:u w:val="single"/>
        </w:rPr>
        <w:t xml:space="preserve"> over time</w:t>
      </w:r>
      <w:r>
        <w:rPr>
          <w:b w:val="0"/>
          <w:i w:val="0"/>
          <w:smallCaps w:val="0"/>
          <w:strike w:val="0"/>
          <w:sz w:val="16"/>
          <w:u w:val="none"/>
        </w:rPr>
        <w:t xml:space="preserve"> in the number of patent grants and the number of patent infringement complaints filed in U.S. district courts. As seen in the graph, there is a sharp increase in the number of complaints filed after 2011 due to the anti-joinder provisions of the America Invents Act (AIA). As astute observers of the U.S. patent system understand, this increase in complaints does not represent new disputes but merely a separation of defendants into individual lawsuits thereby mechanically increasing the number of complaints. Therefore, the decline in complaints observed after 2013 is more impressive than it appears as the decline would have been even greater were it not for the anti-joinder provision. Even still, complaints are only about a third higher than they were in the period leading up to the AIA. Furthermore, patent infringement complaints as a share of granted patents is low and is also declining. Marcum reports </w:t>
      </w:r>
      <w:r>
        <w:rPr>
          <w:b w:val="0"/>
          <w:i w:val="0"/>
          <w:smallCaps w:val="0"/>
          <w:strike w:val="0"/>
          <w:sz w:val="22"/>
          <w:u w:val="single"/>
        </w:rPr>
        <w:t xml:space="preserve">this share averaged 1.7% from 2013 to 2017 and is </w:t>
      </w:r>
      <w:r>
        <w:rPr>
          <w:b/>
          <w:i w:val="0"/>
          <w:smallCaps w:val="0"/>
          <w:strike w:val="0"/>
          <w:sz w:val="24"/>
          <w:u w:val="single"/>
        </w:rPr>
        <w:t>less than 1%</w:t>
      </w:r>
      <w:r>
        <w:rPr>
          <w:b w:val="0"/>
          <w:i w:val="0"/>
          <w:smallCaps w:val="0"/>
          <w:strike w:val="0"/>
          <w:sz w:val="22"/>
          <w:u w:val="single"/>
        </w:rPr>
        <w:t xml:space="preserve"> today</w:t>
      </w:r>
      <w:r>
        <w:rPr>
          <w:b w:val="0"/>
          <w:i w:val="0"/>
          <w:smallCaps w:val="0"/>
          <w:strike w:val="0"/>
          <w:sz w:val="16"/>
          <w:u w:val="none"/>
        </w:rPr>
        <w:t>.</w:t>
      </w:r>
    </w:p>
    <w:p>
      <w:pPr>
        <w:spacing w:after="60"/>
      </w:pPr>
      <w:r>
        <w:rPr>
          <w:b w:val="0"/>
          <w:i w:val="0"/>
          <w:smallCaps w:val="0"/>
          <w:strike w:val="0"/>
          <w:sz w:val="16"/>
          <w:u w:val="none"/>
        </w:rPr>
        <w:t>Injunction Grants Are Low</w:t>
      </w:r>
    </w:p>
    <w:p>
      <w:pPr>
        <w:spacing w:after="60"/>
      </w:pPr>
      <w:r>
        <w:rPr>
          <w:b w:val="0"/>
          <w:i w:val="0"/>
          <w:smallCaps w:val="0"/>
          <w:strike w:val="0"/>
          <w:sz w:val="16"/>
          <w:u w:val="none"/>
        </w:rPr>
        <w:t xml:space="preserve">The Marcum report provides further evidence of the pernicious effect the U.S. Supreme Court’s eBay decision has had on the ability of patent owners to enforce the exclusionary right embodied in their patent. Prior </w:t>
      </w:r>
      <w:r>
        <w:rPr>
          <w:b w:val="0"/>
          <w:i w:val="0"/>
          <w:smallCaps w:val="0"/>
          <w:strike w:val="0"/>
          <w:sz w:val="16"/>
          <w:u w:val="none"/>
        </w:rPr>
        <w:t xml:space="preserve"> has shown that patent owners are less likely to seek injunctions and those injunctions are less likely to be granted following eBay. It should be no surprise then that </w:t>
      </w:r>
      <w:r>
        <w:rPr>
          <w:b w:val="0"/>
          <w:i w:val="0"/>
          <w:smallCaps w:val="0"/>
          <w:strike w:val="0"/>
          <w:sz w:val="22"/>
          <w:u w:val="single"/>
        </w:rPr>
        <w:t xml:space="preserve">there has been </w:t>
      </w:r>
      <w:r>
        <w:rPr>
          <w:b w:val="0"/>
          <w:i w:val="0"/>
          <w:smallCaps w:val="0"/>
          <w:strike w:val="0"/>
          <w:sz w:val="22"/>
          <w:highlight w:val="cyan"/>
          <w:u w:val="single"/>
        </w:rPr>
        <w:t xml:space="preserve">a </w:t>
      </w:r>
      <w:r>
        <w:rPr>
          <w:b/>
          <w:i w:val="0"/>
          <w:smallCaps w:val="0"/>
          <w:strike w:val="0"/>
          <w:sz w:val="24"/>
          <w:highlight w:val="cyan"/>
          <w:u w:val="single"/>
        </w:rPr>
        <w:t>significant decline</w:t>
      </w:r>
      <w:r>
        <w:rPr>
          <w:b w:val="0"/>
          <w:i w:val="0"/>
          <w:smallCaps w:val="0"/>
          <w:strike w:val="0"/>
          <w:sz w:val="22"/>
          <w:u w:val="single"/>
        </w:rPr>
        <w:t xml:space="preserve"> in injunction grants </w:t>
      </w:r>
      <w:r>
        <w:rPr>
          <w:b w:val="0"/>
          <w:i w:val="0"/>
          <w:smallCaps w:val="0"/>
          <w:strike w:val="0"/>
          <w:sz w:val="22"/>
          <w:highlight w:val="cyan"/>
          <w:u w:val="single"/>
        </w:rPr>
        <w:t>over</w:t>
      </w:r>
      <w:r>
        <w:rPr>
          <w:b w:val="0"/>
          <w:i w:val="0"/>
          <w:smallCaps w:val="0"/>
          <w:strike w:val="0"/>
          <w:sz w:val="22"/>
          <w:u w:val="single"/>
        </w:rPr>
        <w:t xml:space="preserve"> the last </w:t>
      </w:r>
      <w:r>
        <w:rPr>
          <w:b w:val="0"/>
          <w:i w:val="0"/>
          <w:smallCaps w:val="0"/>
          <w:strike w:val="0"/>
          <w:sz w:val="22"/>
          <w:highlight w:val="cyan"/>
          <w:u w:val="single"/>
        </w:rPr>
        <w:t>15 years</w:t>
      </w:r>
      <w:r>
        <w:rPr>
          <w:b w:val="0"/>
          <w:i w:val="0"/>
          <w:smallCaps w:val="0"/>
          <w:strike w:val="0"/>
          <w:sz w:val="16"/>
          <w:u w:val="none"/>
        </w:rPr>
        <w:t xml:space="preserve">. The Marcum report focuses on injunction grants excluding default judgments. They note that “cases with default judgments do not typically represent contested disputes” as the defendant has failed “to take required actions or respond to court proceedings.” The report shows that </w:t>
      </w:r>
      <w:r>
        <w:rPr>
          <w:b w:val="0"/>
          <w:i w:val="0"/>
          <w:smallCaps w:val="0"/>
          <w:strike w:val="0"/>
          <w:sz w:val="22"/>
          <w:highlight w:val="cyan"/>
          <w:u w:val="single"/>
        </w:rPr>
        <w:t>injunction</w:t>
      </w:r>
      <w:r>
        <w:rPr>
          <w:b w:val="0"/>
          <w:i w:val="0"/>
          <w:smallCaps w:val="0"/>
          <w:strike w:val="0"/>
          <w:sz w:val="22"/>
          <w:u w:val="single"/>
        </w:rPr>
        <w:t xml:space="preserve"> grant</w:t>
      </w:r>
      <w:r>
        <w:rPr>
          <w:b/>
          <w:i w:val="0"/>
          <w:smallCaps w:val="0"/>
          <w:strike w:val="0"/>
          <w:sz w:val="24"/>
          <w:highlight w:val="cyan"/>
          <w:u w:val="single"/>
        </w:rPr>
        <w:t>s</w:t>
      </w:r>
      <w:r>
        <w:rPr>
          <w:b w:val="0"/>
          <w:i w:val="0"/>
          <w:smallCaps w:val="0"/>
          <w:strike w:val="0"/>
          <w:sz w:val="16"/>
          <w:u w:val="none"/>
        </w:rPr>
        <w:t xml:space="preserve"> (excluding default judgments) </w:t>
      </w:r>
      <w:r>
        <w:rPr>
          <w:b w:val="0"/>
          <w:i w:val="0"/>
          <w:smallCaps w:val="0"/>
          <w:strike w:val="0"/>
          <w:sz w:val="22"/>
          <w:highlight w:val="cyan"/>
          <w:u w:val="single"/>
        </w:rPr>
        <w:t xml:space="preserve">have </w:t>
      </w:r>
      <w:r>
        <w:rPr>
          <w:b/>
          <w:i w:val="0"/>
          <w:smallCaps w:val="0"/>
          <w:strike w:val="0"/>
          <w:sz w:val="24"/>
          <w:highlight w:val="cyan"/>
          <w:u w:val="single"/>
        </w:rPr>
        <w:t>fallen</w:t>
      </w:r>
      <w:r>
        <w:rPr>
          <w:b w:val="0"/>
          <w:i w:val="0"/>
          <w:smallCaps w:val="0"/>
          <w:strike w:val="0"/>
          <w:sz w:val="22"/>
          <w:u w:val="single"/>
        </w:rPr>
        <w:t xml:space="preserve"> from a </w:t>
      </w:r>
      <w:r>
        <w:rPr>
          <w:b/>
          <w:i w:val="0"/>
          <w:smallCaps w:val="0"/>
          <w:strike w:val="0"/>
          <w:sz w:val="24"/>
          <w:u w:val="single"/>
        </w:rPr>
        <w:t>peak of 80</w:t>
      </w:r>
      <w:r>
        <w:rPr>
          <w:b w:val="0"/>
          <w:i w:val="0"/>
          <w:smallCaps w:val="0"/>
          <w:strike w:val="0"/>
          <w:sz w:val="22"/>
          <w:u w:val="single"/>
        </w:rPr>
        <w:t xml:space="preserve"> in the period 2008 to 2012 </w:t>
      </w:r>
      <w:r>
        <w:rPr>
          <w:b w:val="0"/>
          <w:i w:val="0"/>
          <w:smallCaps w:val="0"/>
          <w:strike w:val="0"/>
          <w:sz w:val="22"/>
          <w:highlight w:val="cyan"/>
          <w:u w:val="single"/>
        </w:rPr>
        <w:t xml:space="preserve">to </w:t>
      </w:r>
      <w:r>
        <w:rPr>
          <w:b/>
          <w:i w:val="0"/>
          <w:smallCaps w:val="0"/>
          <w:strike w:val="0"/>
          <w:sz w:val="24"/>
          <w:highlight w:val="cyan"/>
          <w:u w:val="single"/>
        </w:rPr>
        <w:t>just</w:t>
      </w:r>
      <w:r>
        <w:rPr>
          <w:b/>
          <w:i w:val="0"/>
          <w:smallCaps w:val="0"/>
          <w:strike w:val="0"/>
          <w:sz w:val="24"/>
          <w:u w:val="single"/>
        </w:rPr>
        <w:t xml:space="preserve"> 36</w:t>
      </w:r>
      <w:r>
        <w:rPr>
          <w:b w:val="0"/>
          <w:i w:val="0"/>
          <w:smallCaps w:val="0"/>
          <w:strike w:val="0"/>
          <w:sz w:val="22"/>
          <w:u w:val="single"/>
        </w:rPr>
        <w:t xml:space="preserve"> in the period 2018 to 2022. That is, in the </w:t>
      </w:r>
      <w:r>
        <w:rPr>
          <w:b/>
          <w:i w:val="0"/>
          <w:smallCaps w:val="0"/>
          <w:strike w:val="0"/>
          <w:sz w:val="24"/>
          <w:u w:val="single"/>
        </w:rPr>
        <w:t>most recent</w:t>
      </w:r>
      <w:r>
        <w:rPr>
          <w:b w:val="0"/>
          <w:i w:val="0"/>
          <w:smallCaps w:val="0"/>
          <w:strike w:val="0"/>
          <w:sz w:val="22"/>
          <w:u w:val="single"/>
        </w:rPr>
        <w:t xml:space="preserve"> period, there is an average of </w:t>
      </w:r>
      <w:r>
        <w:rPr>
          <w:b/>
          <w:i w:val="0"/>
          <w:smallCaps w:val="0"/>
          <w:strike w:val="0"/>
          <w:sz w:val="24"/>
          <w:u w:val="single"/>
        </w:rPr>
        <w:t xml:space="preserve">just </w:t>
      </w:r>
      <w:r>
        <w:rPr>
          <w:b/>
          <w:i w:val="0"/>
          <w:smallCaps w:val="0"/>
          <w:strike w:val="0"/>
          <w:sz w:val="24"/>
          <w:highlight w:val="cyan"/>
          <w:u w:val="single"/>
        </w:rPr>
        <w:t>seven</w:t>
      </w:r>
      <w:r>
        <w:rPr>
          <w:b/>
          <w:i w:val="0"/>
          <w:smallCaps w:val="0"/>
          <w:strike w:val="0"/>
          <w:sz w:val="24"/>
          <w:u w:val="single"/>
        </w:rPr>
        <w:t xml:space="preserve"> injunctions</w:t>
      </w:r>
      <w:r>
        <w:rPr>
          <w:b w:val="0"/>
          <w:i w:val="0"/>
          <w:smallCaps w:val="0"/>
          <w:strike w:val="0"/>
          <w:sz w:val="22"/>
          <w:u w:val="single"/>
        </w:rPr>
        <w:t xml:space="preserve"> </w:t>
      </w:r>
      <w:r>
        <w:rPr>
          <w:b w:val="0"/>
          <w:i w:val="0"/>
          <w:smallCaps w:val="0"/>
          <w:strike w:val="0"/>
          <w:sz w:val="22"/>
          <w:highlight w:val="cyan"/>
          <w:u w:val="single"/>
        </w:rPr>
        <w:t>per year</w:t>
      </w:r>
      <w:r>
        <w:rPr>
          <w:b w:val="0"/>
          <w:i w:val="0"/>
          <w:smallCaps w:val="0"/>
          <w:strike w:val="0"/>
          <w:sz w:val="22"/>
          <w:u w:val="single"/>
        </w:rPr>
        <w:t>—less than half the average in the earlier period</w:t>
      </w:r>
      <w:r>
        <w:rPr>
          <w:b w:val="0"/>
          <w:i w:val="0"/>
          <w:smallCaps w:val="0"/>
          <w:strike w:val="0"/>
          <w:sz w:val="16"/>
          <w:u w:val="none"/>
        </w:rPr>
        <w:t>. In addition to a low level of injunctions, enhancement of damages is rare. Only 22% of remedies awards were enhanced due to a finding of willful infringement.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