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Litigation is </w:t>
      </w:r>
      <w:r>
        <w:rPr>
          <w:b/>
          <w:i w:val="0"/>
          <w:smallCaps w:val="0"/>
          <w:strike w:val="0"/>
          <w:sz w:val="26"/>
          <w:u w:val="single"/>
        </w:rPr>
        <w:t>constant</w:t>
      </w:r>
      <w:r>
        <w:rPr>
          <w:b/>
          <w:i w:val="0"/>
          <w:smallCaps w:val="0"/>
          <w:strike w:val="0"/>
          <w:sz w:val="26"/>
          <w:u w:val="none"/>
        </w:rPr>
        <w:t xml:space="preserve"> but trends toward </w:t>
      </w:r>
      <w:r>
        <w:rPr>
          <w:b/>
          <w:i w:val="0"/>
          <w:smallCaps w:val="0"/>
          <w:strike w:val="0"/>
          <w:sz w:val="26"/>
          <w:u w:val="single"/>
        </w:rPr>
        <w:t>decreasing</w:t>
      </w:r>
      <w:r>
        <w:rPr>
          <w:b/>
          <w:i w:val="0"/>
          <w:smallCaps w:val="0"/>
          <w:strike w:val="0"/>
          <w:sz w:val="26"/>
          <w:u w:val="none"/>
        </w:rPr>
        <w:t>.</w:t>
      </w:r>
    </w:p>
    <w:p>
      <w:pPr>
        <w:spacing w:after="80"/>
      </w:pPr>
      <w:r>
        <w:rPr>
          <w:b/>
          <w:i w:val="0"/>
          <w:smallCaps w:val="0"/>
          <w:strike w:val="0"/>
          <w:sz w:val="26"/>
          <w:u w:val="none"/>
        </w:rPr>
        <w:t xml:space="preserve">UP ’24 </w:t>
      </w:r>
      <w:r>
        <w:rPr>
          <w:b w:val="0"/>
          <w:i w:val="0"/>
          <w:smallCaps w:val="0"/>
          <w:strike w:val="0"/>
          <w:u w:val="none"/>
        </w:rPr>
        <w:t xml:space="preserve">[Unified Patents; January 8; International membership organization that seeks to improve patent quality; Unified Patents, “Patent Dispute Report: 2023 in Review,” </w:t>
      </w:r>
      <w:r>
        <w:rPr>
          <w:b w:val="0"/>
          <w:i w:val="0"/>
          <w:smallCaps w:val="0"/>
          <w:strike w:val="0"/>
          <w:u w:val="none"/>
        </w:rPr>
        <w:t>]</w:t>
      </w:r>
    </w:p>
    <w:p>
      <w:pPr>
        <w:spacing w:after="60"/>
      </w:pPr>
      <w:r>
        <w:rPr>
          <w:b w:val="0"/>
          <w:i w:val="0"/>
          <w:smallCaps w:val="0"/>
          <w:strike w:val="0"/>
          <w:sz w:val="16"/>
          <w:u w:val="none"/>
        </w:rPr>
        <w:t xml:space="preserve">2023 was an eventful year for the patent world. The USPTO sought comments on the ANPRM and Patent Eligibility Restoration Act. The Unified Patent Court (UPC) launched. Pressure mounted in the EU to create a SEP commission. </w:t>
      </w:r>
      <w:r>
        <w:rPr>
          <w:b/>
          <w:i w:val="0"/>
          <w:smallCaps w:val="0"/>
          <w:strike w:val="0"/>
          <w:sz w:val="24"/>
          <w:highlight w:val="cyan"/>
          <w:u w:val="single"/>
        </w:rPr>
        <w:t>Despite</w:t>
      </w:r>
      <w:r>
        <w:rPr>
          <w:b w:val="0"/>
          <w:i w:val="0"/>
          <w:smallCaps w:val="0"/>
          <w:strike w:val="0"/>
          <w:sz w:val="22"/>
          <w:u w:val="single"/>
        </w:rPr>
        <w:t xml:space="preserve"> the implemented </w:t>
      </w:r>
      <w:r>
        <w:rPr>
          <w:b/>
          <w:i w:val="0"/>
          <w:smallCaps w:val="0"/>
          <w:strike w:val="0"/>
          <w:sz w:val="24"/>
          <w:highlight w:val="cyan"/>
          <w:u w:val="single"/>
        </w:rPr>
        <w:t>changes</w:t>
      </w:r>
      <w:r>
        <w:rPr>
          <w:b w:val="0"/>
          <w:i w:val="0"/>
          <w:smallCaps w:val="0"/>
          <w:strike w:val="0"/>
          <w:sz w:val="22"/>
          <w:u w:val="single"/>
        </w:rPr>
        <w:t xml:space="preserve"> or those proposed, </w:t>
      </w:r>
      <w:r>
        <w:rPr>
          <w:b/>
          <w:i w:val="0"/>
          <w:smallCaps w:val="0"/>
          <w:strike w:val="0"/>
          <w:sz w:val="24"/>
          <w:highlight w:val="cyan"/>
          <w:u w:val="single"/>
        </w:rPr>
        <w:t>litigation</w:t>
      </w:r>
      <w:r>
        <w:rPr>
          <w:b/>
          <w:i w:val="0"/>
          <w:smallCaps w:val="0"/>
          <w:strike w:val="0"/>
          <w:sz w:val="24"/>
          <w:u w:val="single"/>
        </w:rPr>
        <w:t xml:space="preserve"> levels</w:t>
      </w:r>
      <w:r>
        <w:rPr>
          <w:b w:val="0"/>
          <w:i w:val="0"/>
          <w:smallCaps w:val="0"/>
          <w:strike w:val="0"/>
          <w:sz w:val="22"/>
          <w:u w:val="single"/>
        </w:rPr>
        <w:t xml:space="preserve"> </w:t>
      </w:r>
      <w:r>
        <w:rPr>
          <w:b w:val="0"/>
          <w:i w:val="0"/>
          <w:smallCaps w:val="0"/>
          <w:strike w:val="0"/>
          <w:sz w:val="22"/>
          <w:highlight w:val="cyan"/>
          <w:u w:val="single"/>
        </w:rPr>
        <w:t xml:space="preserve">remained </w:t>
      </w:r>
      <w:r>
        <w:rPr>
          <w:b/>
          <w:i w:val="0"/>
          <w:smallCaps w:val="0"/>
          <w:strike w:val="0"/>
          <w:sz w:val="24"/>
          <w:highlight w:val="cyan"/>
          <w:u w:val="single"/>
        </w:rPr>
        <w:t>constant</w:t>
      </w:r>
      <w:r>
        <w:rPr>
          <w:b w:val="0"/>
          <w:i w:val="0"/>
          <w:smallCaps w:val="0"/>
          <w:strike w:val="0"/>
          <w:sz w:val="16"/>
          <w:u w:val="none"/>
        </w:rPr>
        <w:t>. IP Edge continues to be notably absent, but others, like Jeffrey M. Gross and Intellectual Ventures, have increased their assertions.</w:t>
      </w:r>
    </w:p>
    <w:p>
      <w:pPr>
        <w:spacing w:after="60"/>
      </w:pPr>
      <w:r>
        <w:rPr>
          <w:b w:val="0"/>
          <w:i w:val="0"/>
          <w:smallCaps w:val="0"/>
          <w:strike w:val="0"/>
          <w:sz w:val="16"/>
          <w:u w:val="none"/>
        </w:rPr>
        <w:t>Highlights:</w:t>
      </w:r>
    </w:p>
    <w:p>
      <w:pPr>
        <w:spacing w:after="60"/>
      </w:pPr>
      <w:r>
        <w:rPr>
          <w:b w:val="0"/>
          <w:i w:val="0"/>
          <w:smallCaps w:val="0"/>
          <w:strike w:val="0"/>
          <w:sz w:val="22"/>
          <w:u w:val="single"/>
        </w:rPr>
        <w:t xml:space="preserve">Litigation was </w:t>
      </w:r>
      <w:r>
        <w:rPr>
          <w:b/>
          <w:i w:val="0"/>
          <w:smallCaps w:val="0"/>
          <w:strike w:val="0"/>
          <w:sz w:val="24"/>
          <w:highlight w:val="cyan"/>
          <w:u w:val="single"/>
        </w:rPr>
        <w:t>down 12.5%</w:t>
      </w:r>
      <w:r>
        <w:rPr>
          <w:b w:val="0"/>
          <w:i w:val="0"/>
          <w:smallCaps w:val="0"/>
          <w:strike w:val="0"/>
          <w:sz w:val="16"/>
          <w:u w:val="none"/>
        </w:rPr>
        <w:t xml:space="preserve">, PTAB was down 11.4%, and Reexams were up 6.7% </w:t>
      </w:r>
    </w:p>
    <w:p>
      <w:pPr>
        <w:spacing w:after="60"/>
      </w:pPr>
      <w:r>
        <w:rPr>
          <w:b w:val="0"/>
          <w:i w:val="0"/>
          <w:smallCaps w:val="0"/>
          <w:strike w:val="0"/>
          <w:sz w:val="16"/>
          <w:u w:val="none"/>
        </w:rPr>
        <w:t>With disclosure requirements and referral for disbarment in Delaware, the EDTX became the hotspot for NPE activity, although the WDTX was only 54 cases behind.</w:t>
      </w:r>
    </w:p>
    <w:p>
      <w:pPr>
        <w:spacing w:after="60"/>
      </w:pPr>
      <w:r>
        <w:rPr>
          <w:b w:val="0"/>
          <w:i w:val="0"/>
          <w:smallCaps w:val="0"/>
          <w:strike w:val="0"/>
          <w:sz w:val="22"/>
          <w:highlight w:val="cyan"/>
          <w:u w:val="single"/>
        </w:rPr>
        <w:t xml:space="preserve">Litigation remained </w:t>
      </w:r>
      <w:r>
        <w:rPr>
          <w:b/>
          <w:i w:val="0"/>
          <w:smallCaps w:val="0"/>
          <w:strike w:val="0"/>
          <w:sz w:val="24"/>
          <w:highlight w:val="cyan"/>
          <w:u w:val="single"/>
        </w:rPr>
        <w:t>on par</w:t>
      </w:r>
      <w:r>
        <w:rPr>
          <w:b w:val="0"/>
          <w:i w:val="0"/>
          <w:smallCaps w:val="0"/>
          <w:strike w:val="0"/>
          <w:sz w:val="22"/>
          <w:u w:val="single"/>
        </w:rPr>
        <w:t xml:space="preserve"> quarter-by-quarter </w:t>
      </w:r>
      <w:r>
        <w:rPr>
          <w:b w:val="0"/>
          <w:i w:val="0"/>
          <w:smallCaps w:val="0"/>
          <w:strike w:val="0"/>
          <w:sz w:val="22"/>
          <w:highlight w:val="cyan"/>
          <w:u w:val="single"/>
        </w:rPr>
        <w:t xml:space="preserve">with a </w:t>
      </w:r>
      <w:r>
        <w:rPr>
          <w:b/>
          <w:i w:val="0"/>
          <w:smallCaps w:val="0"/>
          <w:strike w:val="0"/>
          <w:sz w:val="24"/>
          <w:highlight w:val="cyan"/>
          <w:u w:val="single"/>
        </w:rPr>
        <w:t>s</w:t>
      </w:r>
      <w:r>
        <w:rPr>
          <w:b w:val="0"/>
          <w:i w:val="0"/>
          <w:smallCaps w:val="0"/>
          <w:strike w:val="0"/>
          <w:sz w:val="22"/>
          <w:u w:val="single"/>
        </w:rPr>
        <w:t xml:space="preserve">tandard </w:t>
      </w:r>
      <w:r>
        <w:rPr>
          <w:b/>
          <w:i w:val="0"/>
          <w:smallCaps w:val="0"/>
          <w:strike w:val="0"/>
          <w:sz w:val="24"/>
          <w:highlight w:val="cyan"/>
          <w:u w:val="single"/>
        </w:rPr>
        <w:t>dev</w:t>
      </w:r>
      <w:r>
        <w:rPr>
          <w:b w:val="0"/>
          <w:i w:val="0"/>
          <w:smallCaps w:val="0"/>
          <w:strike w:val="0"/>
          <w:sz w:val="22"/>
          <w:u w:val="single"/>
        </w:rPr>
        <w:t xml:space="preserve">iation </w:t>
      </w:r>
      <w:r>
        <w:rPr>
          <w:b w:val="0"/>
          <w:i w:val="0"/>
          <w:smallCaps w:val="0"/>
          <w:strike w:val="0"/>
          <w:sz w:val="22"/>
          <w:highlight w:val="cyan"/>
          <w:u w:val="single"/>
        </w:rPr>
        <w:t xml:space="preserve">of </w:t>
      </w:r>
      <w:r>
        <w:rPr>
          <w:b/>
          <w:i w:val="0"/>
          <w:smallCaps w:val="0"/>
          <w:strike w:val="0"/>
          <w:sz w:val="24"/>
          <w:highlight w:val="cyan"/>
          <w:u w:val="single"/>
        </w:rPr>
        <w:t>28</w:t>
      </w:r>
      <w:r>
        <w:rPr>
          <w:b/>
          <w:i w:val="0"/>
          <w:smallCaps w:val="0"/>
          <w:strike w:val="0"/>
          <w:sz w:val="24"/>
          <w:u w:val="single"/>
        </w:rPr>
        <w:t xml:space="preserve">.2 </w:t>
      </w:r>
      <w:r>
        <w:rPr>
          <w:b/>
          <w:i w:val="0"/>
          <w:smallCaps w:val="0"/>
          <w:strike w:val="0"/>
          <w:sz w:val="24"/>
          <w:highlight w:val="cyan"/>
          <w:u w:val="single"/>
        </w:rPr>
        <w:t>cases</w:t>
      </w:r>
      <w:r>
        <w:rPr>
          <w:b w:val="0"/>
          <w:i w:val="0"/>
          <w:smallCaps w:val="0"/>
          <w:strike w:val="0"/>
          <w:sz w:val="16"/>
          <w:u w:val="none"/>
        </w:rPr>
        <w:t xml:space="preserve">, even without IP Edge. </w:t>
      </w:r>
    </w:p>
    <w:p>
      <w:pPr>
        <w:spacing w:after="60"/>
      </w:pPr>
      <w:r>
        <w:rPr>
          <w:b w:val="0"/>
          <w:i w:val="0"/>
          <w:smallCaps w:val="0"/>
          <w:strike w:val="0"/>
          <w:sz w:val="16"/>
          <w:u w:val="none"/>
        </w:rPr>
        <w:t>Jeffery M. Gross and Intellectual Ventures led 2023 for most suits filed by Litigation Investment Entities (LIEs) with 226 collectively. Patent Armory, attributed to Gross as well, made up 83 of those suits.</w:t>
      </w:r>
    </w:p>
    <w:p>
      <w:pPr>
        <w:spacing w:after="60"/>
      </w:pPr>
      <w:r>
        <w:rPr>
          <w:b w:val="0"/>
          <w:i w:val="0"/>
          <w:smallCaps w:val="0"/>
          <w:strike w:val="0"/>
          <w:sz w:val="16"/>
          <w:u w:val="none"/>
        </w:rPr>
        <w:t>With a lukewarm start, the UPC has begun to see an uptick in cases, particularly surrounding SEPs with a total of 155 cases.</w:t>
      </w:r>
    </w:p>
    <w:p>
      <w:pPr>
        <w:spacing w:after="60"/>
      </w:pPr>
      <w:r>
        <w:rPr>
          <w:b w:val="0"/>
          <w:i w:val="0"/>
          <w:smallCaps w:val="0"/>
          <w:strike w:val="0"/>
          <w:sz w:val="16"/>
          <w:u w:val="none"/>
        </w:rPr>
        <w:t xml:space="preserve">Unified Patents leads ex </w:t>
      </w:r>
      <w:r>
        <w:rPr>
          <w:b w:val="0"/>
          <w:i w:val="0"/>
          <w:smallCaps w:val="0"/>
          <w:strike w:val="0"/>
          <w:sz w:val="16"/>
          <w:u w:val="none"/>
        </w:rPr>
        <w:t>parte</w:t>
      </w:r>
      <w:r>
        <w:rPr>
          <w:b w:val="0"/>
          <w:i w:val="0"/>
          <w:smallCaps w:val="0"/>
          <w:strike w:val="0"/>
          <w:sz w:val="16"/>
          <w:u w:val="none"/>
        </w:rPr>
        <w:t xml:space="preserve"> reexaminations with 57 in 2023 and 96 since 2020 collectively. </w:t>
      </w:r>
    </w:p>
    <w:p>
      <w:pPr>
        <w:pStyle w:val="Caption"/>
      </w:pPr>
      <w:r>
        <w:t>Source: Balance Updates 2 -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