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Resources are </w:t>
      </w:r>
      <w:r>
        <w:rPr>
          <w:b/>
          <w:i w:val="0"/>
          <w:smallCaps w:val="0"/>
          <w:strike w:val="0"/>
          <w:sz w:val="26"/>
          <w:u w:val="single"/>
        </w:rPr>
        <w:t>finite</w:t>
      </w:r>
      <w:r>
        <w:rPr>
          <w:b/>
          <w:i w:val="0"/>
          <w:smallCaps w:val="0"/>
          <w:strike w:val="0"/>
          <w:sz w:val="26"/>
          <w:u w:val="none"/>
        </w:rPr>
        <w:t xml:space="preserve">---overstretch causes </w:t>
      </w:r>
      <w:r>
        <w:rPr>
          <w:b/>
          <w:i w:val="0"/>
          <w:smallCaps w:val="0"/>
          <w:strike w:val="0"/>
          <w:sz w:val="26"/>
          <w:u w:val="single"/>
        </w:rPr>
        <w:t>proactive</w:t>
      </w:r>
      <w:r>
        <w:rPr>
          <w:b/>
          <w:i w:val="0"/>
          <w:smallCaps w:val="0"/>
          <w:strike w:val="0"/>
          <w:sz w:val="26"/>
          <w:u w:val="none"/>
        </w:rPr>
        <w:t xml:space="preserve"> judicial shirking.</w:t>
      </w:r>
    </w:p>
    <w:p>
      <w:pPr>
        <w:spacing w:after="80"/>
      </w:pPr>
      <w:r>
        <w:rPr>
          <w:b/>
          <w:i w:val="0"/>
          <w:smallCaps w:val="0"/>
          <w:strike w:val="0"/>
          <w:sz w:val="26"/>
          <w:u w:val="none"/>
        </w:rPr>
        <w:t xml:space="preserve">Cohen ’14 </w:t>
      </w:r>
      <w:r>
        <w:rPr>
          <w:b w:val="0"/>
          <w:i w:val="0"/>
          <w:smallCaps w:val="0"/>
          <w:strike w:val="0"/>
          <w:u w:val="none"/>
        </w:rPr>
        <w:t>[David; September 2014; immediate past-president of the Academy of Court-Appointed Masters, J.D. from Case Western Reserve University School of Law; The Federal Lawyer, “Special Masters Versus Magistrate Judges: No Contest,” p. 73-76]</w:t>
      </w:r>
    </w:p>
    <w:p>
      <w:pPr>
        <w:spacing w:after="60"/>
      </w:pPr>
      <w:r>
        <w:rPr>
          <w:b w:val="0"/>
          <w:i w:val="0"/>
          <w:smallCaps w:val="0"/>
          <w:strike w:val="0"/>
          <w:sz w:val="16"/>
          <w:u w:val="none"/>
        </w:rPr>
        <w:t xml:space="preserve">The third type of case is when </w:t>
      </w:r>
      <w:r>
        <w:rPr>
          <w:b w:val="0"/>
          <w:i w:val="0"/>
          <w:smallCaps w:val="0"/>
          <w:strike w:val="0"/>
          <w:sz w:val="22"/>
          <w:highlight w:val="cyan"/>
          <w:u w:val="single"/>
        </w:rPr>
        <w:t>resolution</w:t>
      </w:r>
      <w:r>
        <w:rPr>
          <w:b w:val="0"/>
          <w:i w:val="0"/>
          <w:smallCaps w:val="0"/>
          <w:strike w:val="0"/>
          <w:sz w:val="16"/>
          <w:u w:val="none"/>
        </w:rPr>
        <w:t xml:space="preserve"> of certain issues </w:t>
      </w:r>
      <w:r>
        <w:rPr>
          <w:b w:val="0"/>
          <w:i w:val="0"/>
          <w:smallCaps w:val="0"/>
          <w:strike w:val="0"/>
          <w:sz w:val="22"/>
          <w:highlight w:val="cyan"/>
          <w:u w:val="single"/>
        </w:rPr>
        <w:t>requires</w:t>
      </w:r>
      <w:r>
        <w:rPr>
          <w:b w:val="0"/>
          <w:i w:val="0"/>
          <w:smallCaps w:val="0"/>
          <w:strike w:val="0"/>
          <w:sz w:val="22"/>
          <w:u w:val="single"/>
        </w:rPr>
        <w:t xml:space="preserve"> either </w:t>
      </w:r>
      <w:r>
        <w:rPr>
          <w:b/>
          <w:i w:val="0"/>
          <w:smallCaps w:val="0"/>
          <w:strike w:val="0"/>
          <w:sz w:val="24"/>
          <w:highlight w:val="cyan"/>
          <w:u w:val="single"/>
        </w:rPr>
        <w:t>time</w:t>
      </w:r>
      <w:r>
        <w:rPr>
          <w:b w:val="0"/>
          <w:i w:val="0"/>
          <w:smallCaps w:val="0"/>
          <w:strike w:val="0"/>
          <w:sz w:val="22"/>
          <w:highlight w:val="cyan"/>
          <w:u w:val="single"/>
        </w:rPr>
        <w:t xml:space="preserve"> or </w:t>
      </w:r>
      <w:r>
        <w:rPr>
          <w:b/>
          <w:i w:val="0"/>
          <w:smallCaps w:val="0"/>
          <w:strike w:val="0"/>
          <w:sz w:val="24"/>
          <w:highlight w:val="cyan"/>
          <w:u w:val="single"/>
        </w:rPr>
        <w:t>expertise</w:t>
      </w:r>
      <w:r>
        <w:rPr>
          <w:b w:val="0"/>
          <w:i w:val="0"/>
          <w:smallCaps w:val="0"/>
          <w:strike w:val="0"/>
          <w:sz w:val="22"/>
          <w:highlight w:val="cyan"/>
          <w:u w:val="single"/>
        </w:rPr>
        <w:t xml:space="preserve"> the court</w:t>
      </w:r>
      <w:r>
        <w:rPr>
          <w:b w:val="0"/>
          <w:i w:val="0"/>
          <w:smallCaps w:val="0"/>
          <w:strike w:val="0"/>
          <w:sz w:val="22"/>
          <w:u w:val="single"/>
        </w:rPr>
        <w:t xml:space="preserve"> simply </w:t>
      </w:r>
      <w:r>
        <w:rPr>
          <w:b w:val="0"/>
          <w:i w:val="0"/>
          <w:smallCaps w:val="0"/>
          <w:strike w:val="0"/>
          <w:sz w:val="22"/>
          <w:highlight w:val="cyan"/>
          <w:u w:val="single"/>
        </w:rPr>
        <w:t xml:space="preserve">does </w:t>
      </w:r>
      <w:r>
        <w:rPr>
          <w:b/>
          <w:i w:val="0"/>
          <w:smallCaps w:val="0"/>
          <w:strike w:val="0"/>
          <w:sz w:val="24"/>
          <w:highlight w:val="cyan"/>
          <w:u w:val="single"/>
        </w:rPr>
        <w:t>not have</w:t>
      </w:r>
      <w:r>
        <w:rPr>
          <w:b w:val="0"/>
          <w:i w:val="0"/>
          <w:smallCaps w:val="0"/>
          <w:strike w:val="0"/>
          <w:sz w:val="22"/>
          <w:u w:val="single"/>
        </w:rPr>
        <w:t xml:space="preserve">. Reviewing </w:t>
      </w:r>
      <w:r>
        <w:rPr>
          <w:b/>
          <w:i w:val="0"/>
          <w:smallCaps w:val="0"/>
          <w:strike w:val="0"/>
          <w:sz w:val="24"/>
          <w:u w:val="single"/>
        </w:rPr>
        <w:t>thousands</w:t>
      </w:r>
      <w:r>
        <w:rPr>
          <w:b w:val="0"/>
          <w:i w:val="0"/>
          <w:smallCaps w:val="0"/>
          <w:strike w:val="0"/>
          <w:sz w:val="22"/>
          <w:u w:val="single"/>
        </w:rPr>
        <w:t xml:space="preserve"> of documents for privilege</w:t>
      </w:r>
      <w:r>
        <w:rPr>
          <w:b w:val="0"/>
          <w:i w:val="0"/>
          <w:smallCaps w:val="0"/>
          <w:strike w:val="0"/>
          <w:sz w:val="16"/>
          <w:u w:val="none"/>
        </w:rPr>
        <w:t xml:space="preserve">, or assessing numerous attorney fee petitions, </w:t>
      </w:r>
      <w:r>
        <w:rPr>
          <w:b w:val="0"/>
          <w:i w:val="0"/>
          <w:smallCaps w:val="0"/>
          <w:strike w:val="0"/>
          <w:sz w:val="22"/>
          <w:u w:val="single"/>
        </w:rPr>
        <w:t>is not the best use of a judge’s</w:t>
      </w:r>
      <w:r>
        <w:rPr>
          <w:b w:val="0"/>
          <w:i w:val="0"/>
          <w:smallCaps w:val="0"/>
          <w:strike w:val="0"/>
          <w:sz w:val="16"/>
          <w:u w:val="none"/>
        </w:rPr>
        <w:t xml:space="preserve"> or law clerk’s </w:t>
      </w:r>
      <w:r>
        <w:rPr>
          <w:b w:val="0"/>
          <w:i w:val="0"/>
          <w:smallCaps w:val="0"/>
          <w:strike w:val="0"/>
          <w:sz w:val="22"/>
          <w:u w:val="single"/>
        </w:rPr>
        <w:t>time</w:t>
      </w:r>
      <w:r>
        <w:rPr>
          <w:b w:val="0"/>
          <w:i w:val="0"/>
          <w:smallCaps w:val="0"/>
          <w:strike w:val="0"/>
          <w:sz w:val="16"/>
          <w:u w:val="none"/>
        </w:rPr>
        <w:t xml:space="preserve">. A special master frees the court to focus on larger matters. It can also take an undue amount of time to read and understand patents and construe claims; accordingly, I have helped judges by recommending Markman rulings. The same is true with technical expert witness reports and Daubert rulings, and with monitoring compliance with complex consent decrees. Distilling the parties’ positions in these cases and supplying recommended rulings allows a judge (and chambers staff) to shorten tremendously their time spent deciding an issue, while still achieving finely tuned results. </w:t>
      </w:r>
      <w:r>
        <w:rPr>
          <w:b w:val="0"/>
          <w:i w:val="0"/>
          <w:smallCaps w:val="0"/>
          <w:strike w:val="0"/>
          <w:sz w:val="22"/>
          <w:highlight w:val="cyan"/>
          <w:u w:val="single"/>
        </w:rPr>
        <w:t>Judges</w:t>
      </w:r>
      <w:r>
        <w:rPr>
          <w:b w:val="0"/>
          <w:i w:val="0"/>
          <w:smallCaps w:val="0"/>
          <w:strike w:val="0"/>
          <w:sz w:val="22"/>
          <w:u w:val="single"/>
        </w:rPr>
        <w:t xml:space="preserve"> who </w:t>
      </w:r>
      <w:r>
        <w:rPr>
          <w:b w:val="0"/>
          <w:i w:val="0"/>
          <w:smallCaps w:val="0"/>
          <w:strike w:val="0"/>
          <w:sz w:val="22"/>
          <w:highlight w:val="cyan"/>
          <w:u w:val="single"/>
        </w:rPr>
        <w:t>practice</w:t>
      </w:r>
      <w:r>
        <w:rPr>
          <w:b w:val="0"/>
          <w:i w:val="0"/>
          <w:smallCaps w:val="0"/>
          <w:strike w:val="0"/>
          <w:sz w:val="22"/>
          <w:u w:val="single"/>
        </w:rPr>
        <w:t xml:space="preserve"> good </w:t>
      </w:r>
      <w:r>
        <w:rPr>
          <w:b/>
          <w:i w:val="0"/>
          <w:smallCaps w:val="0"/>
          <w:strike w:val="0"/>
          <w:sz w:val="24"/>
          <w:u w:val="single"/>
        </w:rPr>
        <w:t xml:space="preserve">time </w:t>
      </w:r>
      <w:r>
        <w:rPr>
          <w:b/>
          <w:i w:val="0"/>
          <w:smallCaps w:val="0"/>
          <w:strike w:val="0"/>
          <w:sz w:val="24"/>
          <w:highlight w:val="cyan"/>
          <w:u w:val="single"/>
        </w:rPr>
        <w:t>management</w:t>
      </w:r>
      <w:r>
        <w:rPr>
          <w:b w:val="0"/>
          <w:i w:val="0"/>
          <w:smallCaps w:val="0"/>
          <w:strike w:val="0"/>
          <w:sz w:val="22"/>
          <w:highlight w:val="cyan"/>
          <w:u w:val="single"/>
        </w:rPr>
        <w:t xml:space="preserve"> must</w:t>
      </w:r>
      <w:r>
        <w:rPr>
          <w:b w:val="0"/>
          <w:i w:val="0"/>
          <w:smallCaps w:val="0"/>
          <w:strike w:val="0"/>
          <w:sz w:val="22"/>
          <w:u w:val="single"/>
        </w:rPr>
        <w:t xml:space="preserve"> sometimes </w:t>
      </w:r>
      <w:r>
        <w:rPr>
          <w:b/>
          <w:i w:val="0"/>
          <w:smallCaps w:val="0"/>
          <w:strike w:val="0"/>
          <w:sz w:val="24"/>
          <w:highlight w:val="cyan"/>
          <w:u w:val="single"/>
        </w:rPr>
        <w:t>delegate</w:t>
      </w:r>
      <w:r>
        <w:rPr>
          <w:b w:val="0"/>
          <w:i w:val="0"/>
          <w:smallCaps w:val="0"/>
          <w:strike w:val="0"/>
          <w:sz w:val="22"/>
          <w:highlight w:val="cyan"/>
          <w:u w:val="single"/>
        </w:rPr>
        <w:t xml:space="preserve"> tasks that</w:t>
      </w:r>
      <w:r>
        <w:rPr>
          <w:b w:val="0"/>
          <w:i w:val="0"/>
          <w:smallCaps w:val="0"/>
          <w:strike w:val="0"/>
          <w:sz w:val="22"/>
          <w:u w:val="single"/>
        </w:rPr>
        <w:t xml:space="preserve"> would </w:t>
      </w:r>
      <w:r>
        <w:rPr>
          <w:b/>
          <w:i w:val="0"/>
          <w:smallCaps w:val="0"/>
          <w:strike w:val="0"/>
          <w:sz w:val="24"/>
          <w:highlight w:val="cyan"/>
          <w:u w:val="single"/>
        </w:rPr>
        <w:t>otherwise</w:t>
      </w:r>
      <w:r>
        <w:rPr>
          <w:b w:val="0"/>
          <w:i w:val="0"/>
          <w:smallCaps w:val="0"/>
          <w:strike w:val="0"/>
          <w:sz w:val="22"/>
          <w:highlight w:val="cyan"/>
          <w:u w:val="single"/>
        </w:rPr>
        <w:t xml:space="preserve"> require</w:t>
      </w:r>
      <w:r>
        <w:rPr>
          <w:b w:val="0"/>
          <w:i w:val="0"/>
          <w:smallCaps w:val="0"/>
          <w:strike w:val="0"/>
          <w:sz w:val="22"/>
          <w:u w:val="single"/>
        </w:rPr>
        <w:t xml:space="preserve"> </w:t>
      </w:r>
      <w:r>
        <w:rPr>
          <w:b/>
          <w:i w:val="0"/>
          <w:smallCaps w:val="0"/>
          <w:strike w:val="0"/>
          <w:sz w:val="24"/>
          <w:u w:val="single"/>
        </w:rPr>
        <w:t xml:space="preserve">excessive </w:t>
      </w:r>
      <w:r>
        <w:rPr>
          <w:b/>
          <w:i w:val="0"/>
          <w:smallCaps w:val="0"/>
          <w:strike w:val="0"/>
          <w:sz w:val="24"/>
          <w:highlight w:val="cyan"/>
          <w:u w:val="single"/>
        </w:rPr>
        <w:t>consumption</w:t>
      </w:r>
      <w:r>
        <w:rPr>
          <w:b w:val="0"/>
          <w:i w:val="0"/>
          <w:smallCaps w:val="0"/>
          <w:strike w:val="0"/>
          <w:sz w:val="22"/>
          <w:highlight w:val="cyan"/>
          <w:u w:val="single"/>
        </w:rPr>
        <w:t xml:space="preserve"> of </w:t>
      </w:r>
      <w:r>
        <w:rPr>
          <w:b/>
          <w:i w:val="0"/>
          <w:smallCaps w:val="0"/>
          <w:strike w:val="0"/>
          <w:sz w:val="24"/>
          <w:highlight w:val="cyan"/>
          <w:u w:val="single"/>
        </w:rPr>
        <w:t>scarce</w:t>
      </w:r>
      <w:r>
        <w:rPr>
          <w:b/>
          <w:i w:val="0"/>
          <w:smallCaps w:val="0"/>
          <w:strike w:val="0"/>
          <w:sz w:val="24"/>
          <w:u w:val="single"/>
        </w:rPr>
        <w:t xml:space="preserve"> judicial </w:t>
      </w:r>
      <w:r>
        <w:rPr>
          <w:b/>
          <w:i w:val="0"/>
          <w:smallCaps w:val="0"/>
          <w:strike w:val="0"/>
          <w:sz w:val="24"/>
          <w:highlight w:val="cyan"/>
          <w:u w:val="single"/>
        </w:rPr>
        <w:t>resources</w:t>
      </w:r>
      <w:r>
        <w:rPr>
          <w:b w:val="0"/>
          <w:i w:val="0"/>
          <w:smallCaps w:val="0"/>
          <w:strike w:val="0"/>
          <w:sz w:val="16"/>
          <w:u w:val="none"/>
        </w:rPr>
        <w:t>.</w:t>
      </w:r>
    </w:p>
    <w:p>
      <w:pPr>
        <w:spacing w:after="60"/>
      </w:pPr>
      <w:r>
        <w:rPr>
          <w:b w:val="0"/>
          <w:i w:val="0"/>
          <w:smallCaps w:val="0"/>
          <w:strike w:val="0"/>
          <w:sz w:val="16"/>
          <w:u w:val="none"/>
        </w:rPr>
        <w:t xml:space="preserve">Speaking of judicial resources, I offer this final thought regarding a special master’s cost. It is an overstatement to say it is only fair that the more people use a resource, the more they should pay for it. This axiom makes sense regarding </w:t>
      </w:r>
      <w:r>
        <w:rPr>
          <w:b w:val="0"/>
          <w:i w:val="0"/>
          <w:smallCaps w:val="0"/>
          <w:strike w:val="0"/>
          <w:sz w:val="16"/>
          <w:u w:val="none"/>
        </w:rPr>
        <w:t>electricity;</w:t>
      </w:r>
      <w:r>
        <w:rPr>
          <w:b w:val="0"/>
          <w:i w:val="0"/>
          <w:smallCaps w:val="0"/>
          <w:strike w:val="0"/>
          <w:sz w:val="16"/>
          <w:u w:val="none"/>
        </w:rPr>
        <w:t xml:space="preserve"> not so much regarding the federal court system. </w:t>
      </w:r>
      <w:r>
        <w:rPr>
          <w:b w:val="0"/>
          <w:i w:val="0"/>
          <w:smallCaps w:val="0"/>
          <w:strike w:val="0"/>
          <w:sz w:val="22"/>
          <w:u w:val="single"/>
        </w:rPr>
        <w:t xml:space="preserve">But </w:t>
      </w:r>
      <w:r>
        <w:rPr>
          <w:b/>
          <w:i w:val="0"/>
          <w:smallCaps w:val="0"/>
          <w:strike w:val="0"/>
          <w:sz w:val="24"/>
          <w:u w:val="single"/>
        </w:rPr>
        <w:t xml:space="preserve">judicial </w:t>
      </w:r>
      <w:r>
        <w:rPr>
          <w:b/>
          <w:i w:val="0"/>
          <w:smallCaps w:val="0"/>
          <w:strike w:val="0"/>
          <w:sz w:val="24"/>
          <w:highlight w:val="cyan"/>
          <w:u w:val="single"/>
        </w:rPr>
        <w:t>resources</w:t>
      </w:r>
      <w:r>
        <w:rPr>
          <w:b w:val="0"/>
          <w:i w:val="0"/>
          <w:smallCaps w:val="0"/>
          <w:strike w:val="0"/>
          <w:sz w:val="22"/>
          <w:highlight w:val="cyan"/>
          <w:u w:val="single"/>
        </w:rPr>
        <w:t xml:space="preserve"> are </w:t>
      </w:r>
      <w:r>
        <w:rPr>
          <w:b/>
          <w:i w:val="0"/>
          <w:smallCaps w:val="0"/>
          <w:strike w:val="0"/>
          <w:sz w:val="24"/>
          <w:highlight w:val="cyan"/>
          <w:u w:val="single"/>
        </w:rPr>
        <w:t>finite</w:t>
      </w:r>
      <w:r>
        <w:rPr>
          <w:b w:val="0"/>
          <w:i w:val="0"/>
          <w:smallCaps w:val="0"/>
          <w:strike w:val="0"/>
          <w:sz w:val="22"/>
          <w:u w:val="single"/>
        </w:rPr>
        <w:t xml:space="preserve">. At some point, </w:t>
      </w:r>
      <w:r>
        <w:rPr>
          <w:b/>
          <w:i w:val="0"/>
          <w:smallCaps w:val="0"/>
          <w:strike w:val="0"/>
          <w:sz w:val="24"/>
          <w:highlight w:val="cyan"/>
          <w:u w:val="single"/>
        </w:rPr>
        <w:t>increasing</w:t>
      </w:r>
      <w:r>
        <w:rPr>
          <w:b w:val="0"/>
          <w:i w:val="0"/>
          <w:smallCaps w:val="0"/>
          <w:strike w:val="0"/>
          <w:sz w:val="22"/>
          <w:highlight w:val="cyan"/>
          <w:u w:val="single"/>
        </w:rPr>
        <w:t xml:space="preserve"> caseloads </w:t>
      </w:r>
      <w:r>
        <w:rPr>
          <w:b/>
          <w:i w:val="0"/>
          <w:smallCaps w:val="0"/>
          <w:strike w:val="0"/>
          <w:sz w:val="24"/>
          <w:highlight w:val="cyan"/>
          <w:u w:val="single"/>
        </w:rPr>
        <w:t>detrimentally</w:t>
      </w:r>
      <w:r>
        <w:rPr>
          <w:b w:val="0"/>
          <w:i w:val="0"/>
          <w:smallCaps w:val="0"/>
          <w:strike w:val="0"/>
          <w:sz w:val="22"/>
          <w:highlight w:val="cyan"/>
          <w:u w:val="single"/>
        </w:rPr>
        <w:t xml:space="preserve"> affect</w:t>
      </w:r>
      <w:r>
        <w:rPr>
          <w:b w:val="0"/>
          <w:i w:val="0"/>
          <w:smallCaps w:val="0"/>
          <w:strike w:val="0"/>
          <w:sz w:val="22"/>
          <w:u w:val="single"/>
        </w:rPr>
        <w:t xml:space="preserve"> the level of service</w:t>
      </w:r>
      <w:r>
        <w:rPr>
          <w:b w:val="0"/>
          <w:i w:val="0"/>
          <w:smallCaps w:val="0"/>
          <w:strike w:val="0"/>
          <w:sz w:val="16"/>
          <w:u w:val="none"/>
        </w:rPr>
        <w:t>—and the correctness of justice—</w:t>
      </w:r>
      <w:r>
        <w:rPr>
          <w:b w:val="0"/>
          <w:i w:val="0"/>
          <w:smallCaps w:val="0"/>
          <w:strike w:val="0"/>
          <w:sz w:val="22"/>
          <w:u w:val="single"/>
        </w:rPr>
        <w:t xml:space="preserve">that our </w:t>
      </w:r>
      <w:r>
        <w:rPr>
          <w:b/>
          <w:i w:val="0"/>
          <w:smallCaps w:val="0"/>
          <w:strike w:val="0"/>
          <w:sz w:val="24"/>
          <w:u w:val="single"/>
        </w:rPr>
        <w:t xml:space="preserve">federal </w:t>
      </w:r>
      <w:r>
        <w:rPr>
          <w:b/>
          <w:i w:val="0"/>
          <w:smallCaps w:val="0"/>
          <w:strike w:val="0"/>
          <w:sz w:val="24"/>
          <w:highlight w:val="cyan"/>
          <w:u w:val="single"/>
        </w:rPr>
        <w:t>judges</w:t>
      </w:r>
      <w:r>
        <w:rPr>
          <w:b w:val="0"/>
          <w:i w:val="0"/>
          <w:smallCaps w:val="0"/>
          <w:strike w:val="0"/>
          <w:sz w:val="22"/>
          <w:u w:val="single"/>
        </w:rPr>
        <w:t xml:space="preserve"> provide</w:t>
      </w:r>
      <w:r>
        <w:rPr>
          <w:b w:val="0"/>
          <w:i w:val="0"/>
          <w:smallCaps w:val="0"/>
          <w:strike w:val="0"/>
          <w:sz w:val="16"/>
          <w:u w:val="none"/>
        </w:rPr>
        <w:t>. If not using a special master means a judge has less time for other cases, then those other litigants effectively pay the price. Thus, when a court “considers the fairness of imposing the likely expenses” of a special master, that consideration should include the systemic fairness of not imposing those expenses, too.</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