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 </w:t>
      </w:r>
      <w:r>
        <w:rPr>
          <w:b/>
          <w:i w:val="0"/>
          <w:smallCaps w:val="0"/>
          <w:strike w:val="0"/>
          <w:sz w:val="26"/>
          <w:u w:val="single"/>
        </w:rPr>
        <w:t>trade off</w:t>
      </w:r>
      <w:r>
        <w:rPr>
          <w:b/>
          <w:i w:val="0"/>
          <w:smallCaps w:val="0"/>
          <w:strike w:val="0"/>
          <w:sz w:val="26"/>
          <w:u w:val="none"/>
        </w:rPr>
        <w:t xml:space="preserve"> with </w:t>
      </w:r>
      <w:r>
        <w:rPr>
          <w:b/>
          <w:i w:val="0"/>
          <w:smallCaps w:val="0"/>
          <w:strike w:val="0"/>
          <w:sz w:val="26"/>
          <w:u w:val="single"/>
        </w:rPr>
        <w:t>unrelated</w:t>
      </w:r>
      <w:r>
        <w:rPr>
          <w:b/>
          <w:i w:val="0"/>
          <w:smallCaps w:val="0"/>
          <w:strike w:val="0"/>
          <w:sz w:val="26"/>
          <w:u w:val="none"/>
        </w:rPr>
        <w:t xml:space="preserve"> cases.</w:t>
      </w:r>
    </w:p>
    <w:p>
      <w:pPr>
        <w:spacing w:after="80"/>
      </w:pPr>
      <w:r>
        <w:rPr>
          <w:b/>
          <w:i w:val="0"/>
          <w:smallCaps w:val="0"/>
          <w:strike w:val="0"/>
          <w:sz w:val="26"/>
          <w:u w:val="none"/>
        </w:rPr>
        <w:t xml:space="preserve">Kassel ‘2 </w:t>
      </w:r>
      <w:r>
        <w:rPr>
          <w:b w:val="0"/>
          <w:i w:val="0"/>
          <w:smallCaps w:val="0"/>
          <w:strike w:val="0"/>
          <w:u w:val="none"/>
        </w:rPr>
        <w:t xml:space="preserve">[Michael; January 22; Judge for the Superior Court of New Jersey; </w:t>
      </w:r>
      <w:r>
        <w:rPr>
          <w:b w:val="0"/>
          <w:i w:val="0"/>
          <w:smallCaps w:val="0"/>
          <w:strike w:val="0"/>
          <w:u w:val="none"/>
        </w:rPr>
        <w:t>Casetext</w:t>
      </w:r>
      <w:r>
        <w:rPr>
          <w:b w:val="0"/>
          <w:i w:val="0"/>
          <w:smallCaps w:val="0"/>
          <w:strike w:val="0"/>
          <w:u w:val="none"/>
        </w:rPr>
        <w:t xml:space="preserve">, “Kelleher v. Galindo,” </w:t>
      </w:r>
      <w:r>
        <w:rPr>
          <w:b w:val="0"/>
          <w:i w:val="0"/>
          <w:smallCaps w:val="0"/>
          <w:strike w:val="0"/>
          <w:u w:val="none"/>
        </w:rPr>
        <w:t>]</w:t>
      </w:r>
    </w:p>
    <w:p>
      <w:pPr>
        <w:spacing w:after="60"/>
      </w:pPr>
      <w:r>
        <w:rPr>
          <w:b w:val="0"/>
          <w:i w:val="0"/>
          <w:smallCaps w:val="0"/>
          <w:strike w:val="0"/>
          <w:sz w:val="16"/>
          <w:u w:val="none"/>
        </w:rPr>
        <w:t xml:space="preserve">In each of the eight previous TROs obtained by plaintiff, as well as the two previous TROs obtained by defendant, and also in regard to the eight previous contempt charges between them, (all of which were ultimately dismissed prior to an adjudicatory hearing), the local police department (usually the Cherry Hill Police Department) had to investigate the allegations of domestic violence, and the allegations then had to be presented to the municipal court judge so that a TRO determination could be made. Rule 5:7A. In most of the domestic violence allegations, or allegations of violations of TROs, police reports were prepared by the investigating police department, and after the matter was presented to the municipal court judge and the TROs were issued, the TROs had to be processed by the domestic violence unit of the Family Division in the Superior Court, and set down for a hearing date to determine if an FRO should be issued. </w:t>
      </w:r>
      <w:r>
        <w:rPr>
          <w:b w:val="0"/>
          <w:i w:val="0"/>
          <w:smallCaps w:val="0"/>
          <w:strike w:val="0"/>
          <w:sz w:val="22"/>
          <w:highlight w:val="cyan"/>
          <w:u w:val="single"/>
        </w:rPr>
        <w:t xml:space="preserve">The </w:t>
      </w:r>
      <w:r>
        <w:rPr>
          <w:b/>
          <w:i w:val="0"/>
          <w:smallCaps w:val="0"/>
          <w:strike w:val="0"/>
          <w:sz w:val="24"/>
          <w:highlight w:val="cyan"/>
          <w:u w:val="single"/>
        </w:rPr>
        <w:t>resources</w:t>
      </w:r>
      <w:r>
        <w:rPr>
          <w:b w:val="0"/>
          <w:i w:val="0"/>
          <w:smallCaps w:val="0"/>
          <w:strike w:val="0"/>
          <w:sz w:val="22"/>
          <w:highlight w:val="cyan"/>
          <w:u w:val="single"/>
        </w:rPr>
        <w:t xml:space="preserve"> of</w:t>
      </w:r>
      <w:r>
        <w:rPr>
          <w:b w:val="0"/>
          <w:i w:val="0"/>
          <w:smallCaps w:val="0"/>
          <w:strike w:val="0"/>
          <w:sz w:val="22"/>
          <w:u w:val="single"/>
        </w:rPr>
        <w:t xml:space="preserve"> both law enforcement and the </w:t>
      </w:r>
      <w:r>
        <w:rPr>
          <w:b/>
          <w:i w:val="0"/>
          <w:smallCaps w:val="0"/>
          <w:strike w:val="0"/>
          <w:sz w:val="24"/>
          <w:u w:val="single"/>
        </w:rPr>
        <w:t>cou</w:t>
      </w:r>
      <w:r>
        <w:rPr>
          <w:b/>
          <w:i w:val="0"/>
          <w:smallCaps w:val="0"/>
          <w:strike w:val="0"/>
          <w:sz w:val="24"/>
          <w:highlight w:val="cyan"/>
          <w:u w:val="single"/>
        </w:rPr>
        <w:t>rt</w:t>
      </w:r>
      <w:r>
        <w:rPr>
          <w:b w:val="0"/>
          <w:i w:val="0"/>
          <w:smallCaps w:val="0"/>
          <w:strike w:val="0"/>
          <w:sz w:val="22"/>
          <w:highlight w:val="cyan"/>
          <w:u w:val="single"/>
        </w:rPr>
        <w:t xml:space="preserve"> </w:t>
      </w:r>
      <w:r>
        <w:rPr>
          <w:b/>
          <w:i w:val="0"/>
          <w:smallCaps w:val="0"/>
          <w:strike w:val="0"/>
          <w:sz w:val="24"/>
          <w:highlight w:val="cyan"/>
          <w:u w:val="single"/>
        </w:rPr>
        <w:t>s</w:t>
      </w:r>
      <w:r>
        <w:rPr>
          <w:b w:val="0"/>
          <w:i w:val="0"/>
          <w:smallCaps w:val="0"/>
          <w:strike w:val="0"/>
          <w:sz w:val="22"/>
          <w:u w:val="single"/>
        </w:rPr>
        <w:t xml:space="preserve">ystem </w:t>
      </w:r>
      <w:r>
        <w:rPr>
          <w:b w:val="0"/>
          <w:i w:val="0"/>
          <w:smallCaps w:val="0"/>
          <w:strike w:val="0"/>
          <w:sz w:val="22"/>
          <w:highlight w:val="cyan"/>
          <w:u w:val="single"/>
        </w:rPr>
        <w:t xml:space="preserve">are </w:t>
      </w:r>
      <w:r>
        <w:rPr>
          <w:b/>
          <w:i w:val="0"/>
          <w:smallCaps w:val="0"/>
          <w:strike w:val="0"/>
          <w:sz w:val="24"/>
          <w:highlight w:val="cyan"/>
          <w:u w:val="single"/>
        </w:rPr>
        <w:t>finite</w:t>
      </w:r>
      <w:r>
        <w:rPr>
          <w:b w:val="0"/>
          <w:i w:val="0"/>
          <w:smallCaps w:val="0"/>
          <w:strike w:val="0"/>
          <w:sz w:val="22"/>
          <w:highlight w:val="cyan"/>
          <w:u w:val="single"/>
        </w:rPr>
        <w:t xml:space="preserve">, and </w:t>
      </w:r>
      <w:r>
        <w:rPr>
          <w:b/>
          <w:i w:val="0"/>
          <w:smallCaps w:val="0"/>
          <w:strike w:val="0"/>
          <w:sz w:val="24"/>
          <w:highlight w:val="cyan"/>
          <w:u w:val="single"/>
        </w:rPr>
        <w:t>time</w:t>
      </w:r>
      <w:r>
        <w:rPr>
          <w:b w:val="0"/>
          <w:i w:val="0"/>
          <w:smallCaps w:val="0"/>
          <w:strike w:val="0"/>
          <w:sz w:val="22"/>
          <w:u w:val="single"/>
        </w:rPr>
        <w:t xml:space="preserve"> and </w:t>
      </w:r>
      <w:r>
        <w:rPr>
          <w:b/>
          <w:i w:val="0"/>
          <w:smallCaps w:val="0"/>
          <w:strike w:val="0"/>
          <w:sz w:val="24"/>
          <w:u w:val="single"/>
        </w:rPr>
        <w:t>personnel</w:t>
      </w:r>
      <w:r>
        <w:rPr>
          <w:b w:val="0"/>
          <w:i w:val="0"/>
          <w:smallCaps w:val="0"/>
          <w:strike w:val="0"/>
          <w:sz w:val="22"/>
          <w:u w:val="single"/>
        </w:rPr>
        <w:t xml:space="preserve"> </w:t>
      </w:r>
      <w:r>
        <w:rPr>
          <w:b w:val="0"/>
          <w:i w:val="0"/>
          <w:smallCaps w:val="0"/>
          <w:strike w:val="0"/>
          <w:sz w:val="22"/>
          <w:highlight w:val="cyan"/>
          <w:u w:val="single"/>
        </w:rPr>
        <w:t>spent</w:t>
      </w:r>
      <w:r>
        <w:rPr>
          <w:b w:val="0"/>
          <w:i w:val="0"/>
          <w:smallCaps w:val="0"/>
          <w:strike w:val="0"/>
          <w:sz w:val="16"/>
          <w:u w:val="none"/>
        </w:rPr>
        <w:t xml:space="preserve"> on this plaintiff's TROs </w:t>
      </w:r>
      <w:r>
        <w:rPr>
          <w:b w:val="0"/>
          <w:i w:val="0"/>
          <w:smallCaps w:val="0"/>
          <w:strike w:val="0"/>
          <w:sz w:val="22"/>
          <w:highlight w:val="cyan"/>
          <w:u w:val="single"/>
        </w:rPr>
        <w:t xml:space="preserve">represents </w:t>
      </w:r>
      <w:r>
        <w:rPr>
          <w:b/>
          <w:i w:val="0"/>
          <w:smallCaps w:val="0"/>
          <w:strike w:val="0"/>
          <w:sz w:val="24"/>
          <w:highlight w:val="cyan"/>
          <w:u w:val="single"/>
        </w:rPr>
        <w:t>lost</w:t>
      </w:r>
      <w:r>
        <w:rPr>
          <w:b/>
          <w:i w:val="0"/>
          <w:smallCaps w:val="0"/>
          <w:strike w:val="0"/>
          <w:sz w:val="24"/>
          <w:u w:val="single"/>
        </w:rPr>
        <w:t xml:space="preserve"> time</w:t>
      </w:r>
      <w:r>
        <w:rPr>
          <w:b w:val="0"/>
          <w:i w:val="0"/>
          <w:smallCaps w:val="0"/>
          <w:strike w:val="0"/>
          <w:sz w:val="22"/>
          <w:u w:val="single"/>
        </w:rPr>
        <w:t xml:space="preserve"> and </w:t>
      </w:r>
      <w:r>
        <w:rPr>
          <w:b/>
          <w:i w:val="0"/>
          <w:smallCaps w:val="0"/>
          <w:strike w:val="0"/>
          <w:sz w:val="24"/>
          <w:highlight w:val="cyan"/>
          <w:u w:val="single"/>
        </w:rPr>
        <w:t>resources</w:t>
      </w:r>
      <w:r>
        <w:rPr>
          <w:b w:val="0"/>
          <w:i w:val="0"/>
          <w:smallCaps w:val="0"/>
          <w:strike w:val="0"/>
          <w:sz w:val="22"/>
          <w:highlight w:val="cyan"/>
          <w:u w:val="single"/>
        </w:rPr>
        <w:t xml:space="preserve"> not</w:t>
      </w:r>
      <w:r>
        <w:rPr>
          <w:b w:val="0"/>
          <w:i w:val="0"/>
          <w:smallCaps w:val="0"/>
          <w:strike w:val="0"/>
          <w:sz w:val="22"/>
          <w:u w:val="single"/>
        </w:rPr>
        <w:t xml:space="preserve"> being </w:t>
      </w:r>
      <w:r>
        <w:rPr>
          <w:b w:val="0"/>
          <w:i w:val="0"/>
          <w:smallCaps w:val="0"/>
          <w:strike w:val="0"/>
          <w:sz w:val="22"/>
          <w:highlight w:val="cyan"/>
          <w:u w:val="single"/>
        </w:rPr>
        <w:t>spent on</w:t>
      </w:r>
      <w:r>
        <w:rPr>
          <w:b w:val="0"/>
          <w:i w:val="0"/>
          <w:smallCaps w:val="0"/>
          <w:strike w:val="0"/>
          <w:sz w:val="16"/>
          <w:u w:val="none"/>
        </w:rPr>
        <w:t xml:space="preserve"> domestic violence matters and </w:t>
      </w:r>
      <w:r>
        <w:rPr>
          <w:b/>
          <w:i w:val="0"/>
          <w:smallCaps w:val="0"/>
          <w:strike w:val="0"/>
          <w:sz w:val="24"/>
          <w:highlight w:val="cyan"/>
          <w:u w:val="single"/>
        </w:rPr>
        <w:t>other</w:t>
      </w:r>
      <w:r>
        <w:rPr>
          <w:b w:val="0"/>
          <w:i w:val="0"/>
          <w:smallCaps w:val="0"/>
          <w:strike w:val="0"/>
          <w:sz w:val="22"/>
          <w:u w:val="single"/>
        </w:rPr>
        <w:t xml:space="preserve"> emergent </w:t>
      </w:r>
      <w:r>
        <w:rPr>
          <w:b w:val="0"/>
          <w:i w:val="0"/>
          <w:smallCaps w:val="0"/>
          <w:strike w:val="0"/>
          <w:sz w:val="22"/>
          <w:highlight w:val="cyan"/>
          <w:u w:val="single"/>
        </w:rPr>
        <w:t>matters that</w:t>
      </w:r>
      <w:r>
        <w:rPr>
          <w:b w:val="0"/>
          <w:i w:val="0"/>
          <w:smallCaps w:val="0"/>
          <w:strike w:val="0"/>
          <w:sz w:val="22"/>
          <w:u w:val="single"/>
        </w:rPr>
        <w:t xml:space="preserve"> might </w:t>
      </w:r>
      <w:r>
        <w:rPr>
          <w:b/>
          <w:i w:val="0"/>
          <w:smallCaps w:val="0"/>
          <w:strike w:val="0"/>
          <w:sz w:val="24"/>
          <w:u w:val="single"/>
        </w:rPr>
        <w:t>otherwise</w:t>
      </w:r>
      <w:r>
        <w:rPr>
          <w:b w:val="0"/>
          <w:i w:val="0"/>
          <w:smallCaps w:val="0"/>
          <w:strike w:val="0"/>
          <w:sz w:val="22"/>
          <w:u w:val="single"/>
        </w:rPr>
        <w:t xml:space="preserve"> </w:t>
      </w:r>
      <w:r>
        <w:rPr>
          <w:b w:val="0"/>
          <w:i w:val="0"/>
          <w:smallCaps w:val="0"/>
          <w:strike w:val="0"/>
          <w:sz w:val="22"/>
          <w:highlight w:val="cyan"/>
          <w:u w:val="single"/>
        </w:rPr>
        <w:t xml:space="preserve">warrant </w:t>
      </w:r>
      <w:r>
        <w:rPr>
          <w:b/>
          <w:i w:val="0"/>
          <w:smallCaps w:val="0"/>
          <w:strike w:val="0"/>
          <w:sz w:val="24"/>
          <w:highlight w:val="cyan"/>
          <w:u w:val="single"/>
        </w:rPr>
        <w:t>greater attention</w:t>
      </w:r>
      <w:r>
        <w:rPr>
          <w:b w:val="0"/>
          <w:i w:val="0"/>
          <w:smallCaps w:val="0"/>
          <w:strike w:val="0"/>
          <w:sz w:val="22"/>
          <w:u w:val="single"/>
        </w:rPr>
        <w:t xml:space="preserve"> than</w:t>
      </w:r>
      <w:r>
        <w:rPr>
          <w:b w:val="0"/>
          <w:i w:val="0"/>
          <w:smallCaps w:val="0"/>
          <w:strike w:val="0"/>
          <w:sz w:val="16"/>
          <w:u w:val="none"/>
        </w:rPr>
        <w:t xml:space="preserve"> may have been </w:t>
      </w:r>
      <w:r>
        <w:rPr>
          <w:b w:val="0"/>
          <w:i w:val="0"/>
          <w:smallCaps w:val="0"/>
          <w:strike w:val="0"/>
          <w:sz w:val="22"/>
          <w:u w:val="single"/>
        </w:rPr>
        <w:t>received</w:t>
      </w:r>
      <w:r>
        <w:rPr>
          <w:b w:val="0"/>
          <w:i w:val="0"/>
          <w:smallCaps w:val="0"/>
          <w:strike w:val="0"/>
          <w:sz w:val="16"/>
          <w:u w:val="none"/>
        </w:rPr>
        <w:t xml:space="preserve">. The TRO history of these parties has made a mockery of the Domestic Violence </w:t>
      </w:r>
      <w:r>
        <w:rPr>
          <w:b w:val="0"/>
          <w:i w:val="0"/>
          <w:smallCaps w:val="0"/>
          <w:strike w:val="0"/>
          <w:sz w:val="16"/>
          <w:u w:val="none"/>
        </w:rPr>
        <w:t>Act, and</w:t>
      </w:r>
      <w:r>
        <w:rPr>
          <w:b w:val="0"/>
          <w:i w:val="0"/>
          <w:smallCaps w:val="0"/>
          <w:strike w:val="0"/>
          <w:sz w:val="16"/>
          <w:u w:val="none"/>
        </w:rPr>
        <w:t xml:space="preserve"> trivializes </w:t>
      </w:r>
      <w:r>
        <w:rPr>
          <w:b w:val="0"/>
          <w:i w:val="0"/>
          <w:smallCaps w:val="0"/>
          <w:strike w:val="0"/>
          <w:sz w:val="16"/>
          <w:u w:val="none"/>
        </w:rPr>
        <w:t>same</w:t>
      </w:r>
      <w:r>
        <w:rPr>
          <w:b w:val="0"/>
          <w:i w:val="0"/>
          <w:smallCaps w:val="0"/>
          <w:strike w:val="0"/>
          <w:sz w:val="16"/>
          <w:u w:val="none"/>
        </w:rPr>
        <w:t>. The Appellate Division noted, in a different context, that "There are too many substantial and significant domestic violence matters requiring the urgent attention of the court system to squander judicial and prosecutorial resources on patently unmeritorious litigation</w:t>
      </w:r>
      <w:r>
        <w:rPr>
          <w:b w:val="0"/>
          <w:i w:val="0"/>
          <w:smallCaps w:val="0"/>
          <w:strike w:val="0"/>
          <w:sz w:val="16"/>
          <w:u w:val="none"/>
        </w:rPr>
        <w:t>. . . .</w:t>
      </w:r>
      <w:r>
        <w:rPr>
          <w:b w:val="0"/>
          <w:i w:val="0"/>
          <w:smallCaps w:val="0"/>
          <w:strike w:val="0"/>
          <w:sz w:val="16"/>
          <w:u w:val="none"/>
        </w:rPr>
        <w:t xml:space="preserve">" State v. Wilmouth, </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App.Div</w:t>
      </w:r>
      <w:r>
        <w:rPr>
          <w:b w:val="0"/>
          <w:i w:val="0"/>
          <w:smallCaps w:val="0"/>
          <w:strike w:val="0"/>
          <w:sz w:val="16"/>
          <w:u w:val="none"/>
        </w:rPr>
        <w:t xml:space="preserve">. 1997). In this case, the court is less concerned that the numerous previous TROs were "unmeritorious" than is concerned that the constant cycle of obtaining a TRO and then shortly thereafter dismissing the TRO is squandering judicial and law enforcement resources and diverting attention from urgent and meritorious domestic violence matters. It should be noted that, according to records obtained from the Administrative Office of the Courts, in calendar year 2000 there were 36,021 TROs issued statewide, with 3,528 TROs being issued in Camden County. Camden County was second only to Essex County in the </w:t>
      </w:r>
      <w:r>
        <w:rPr>
          <w:b w:val="0"/>
          <w:i w:val="0"/>
          <w:smallCaps w:val="0"/>
          <w:strike w:val="0"/>
          <w:sz w:val="16"/>
          <w:u w:val="none"/>
        </w:rPr>
        <w:t>amount</w:t>
      </w:r>
      <w:r>
        <w:rPr>
          <w:b w:val="0"/>
          <w:i w:val="0"/>
          <w:smallCaps w:val="0"/>
          <w:strike w:val="0"/>
          <w:sz w:val="16"/>
          <w:u w:val="none"/>
        </w:rPr>
        <w:t xml:space="preserve"> of TROs issued during that year.</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