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last paragraph</w:t>
      </w:r>
      <w:r>
        <w:rPr>
          <w:b/>
          <w:i w:val="0"/>
          <w:smallCaps w:val="0"/>
          <w:strike w:val="0"/>
          <w:sz w:val="26"/>
          <w:u w:val="none"/>
        </w:rPr>
        <w:t xml:space="preserve"> makes this </w:t>
      </w:r>
      <w:r>
        <w:rPr>
          <w:b/>
          <w:i w:val="0"/>
          <w:smallCaps w:val="0"/>
          <w:strike w:val="0"/>
          <w:sz w:val="26"/>
          <w:u w:val="single"/>
        </w:rPr>
        <w:t>crystal clear</w:t>
      </w:r>
      <w:r>
        <w:rPr>
          <w:b/>
          <w:i w:val="0"/>
          <w:smallCaps w:val="0"/>
          <w:strike w:val="0"/>
          <w:sz w:val="26"/>
          <w:u w:val="none"/>
        </w:rPr>
        <w:t xml:space="preserve">---courts manage their dockets </w:t>
      </w:r>
      <w:r>
        <w:rPr>
          <w:b/>
          <w:i w:val="0"/>
          <w:smallCaps w:val="0"/>
          <w:strike w:val="0"/>
          <w:sz w:val="26"/>
          <w:u w:val="single"/>
        </w:rPr>
        <w:t>by</w:t>
      </w:r>
      <w:r>
        <w:rPr>
          <w:b/>
          <w:i w:val="0"/>
          <w:smallCaps w:val="0"/>
          <w:strike w:val="0"/>
          <w:sz w:val="26"/>
          <w:u w:val="none"/>
        </w:rPr>
        <w:t xml:space="preserve"> offloading </w:t>
      </w:r>
      <w:r>
        <w:rPr>
          <w:b/>
          <w:i w:val="0"/>
          <w:smallCaps w:val="0"/>
          <w:strike w:val="0"/>
          <w:sz w:val="26"/>
          <w:u w:val="single"/>
        </w:rPr>
        <w:t>excess cases</w:t>
      </w:r>
      <w:r>
        <w:rPr>
          <w:b/>
          <w:i w:val="0"/>
          <w:smallCaps w:val="0"/>
          <w:strike w:val="0"/>
          <w:sz w:val="26"/>
          <w:u w:val="none"/>
        </w:rPr>
        <w:t>.</w:t>
      </w:r>
    </w:p>
    <w:p>
      <w:pPr>
        <w:spacing w:after="80"/>
      </w:pPr>
      <w:r>
        <w:rPr>
          <w:b/>
          <w:i w:val="0"/>
          <w:smallCaps w:val="0"/>
          <w:strike w:val="0"/>
          <w:sz w:val="26"/>
          <w:u w:val="none"/>
        </w:rPr>
        <w:t xml:space="preserve">2AC Levy ’13 </w:t>
      </w:r>
      <w:r>
        <w:rPr>
          <w:b w:val="0"/>
          <w:i w:val="0"/>
          <w:smallCaps w:val="0"/>
          <w:strike w:val="0"/>
          <w:u w:val="none"/>
        </w:rPr>
        <w:t>[Marin; 2013; Professor of Law at Duke University; University of Chicago Law Review, “Judging the Flood of Litigation,” vol. 80]</w:t>
      </w:r>
    </w:p>
    <w:p>
      <w:pPr>
        <w:spacing w:after="60"/>
      </w:pPr>
      <w:r>
        <w:rPr>
          <w:b w:val="0"/>
          <w:i w:val="0"/>
          <w:smallCaps w:val="0"/>
          <w:strike w:val="0"/>
          <w:sz w:val="16"/>
          <w:u w:val="none"/>
        </w:rPr>
        <w:t xml:space="preserve">What this discussion suggests is that, when compared to floodgates arguments that express interbranch and </w:t>
      </w:r>
      <w:r>
        <w:rPr>
          <w:b w:val="0"/>
          <w:i w:val="0"/>
          <w:smallCaps w:val="0"/>
          <w:strike w:val="0"/>
          <w:sz w:val="16"/>
          <w:u w:val="none"/>
        </w:rPr>
        <w:t>intersystemic</w:t>
      </w:r>
      <w:r>
        <w:rPr>
          <w:b w:val="0"/>
          <w:i w:val="0"/>
          <w:smallCaps w:val="0"/>
          <w:strike w:val="0"/>
          <w:sz w:val="16"/>
          <w:u w:val="none"/>
        </w:rPr>
        <w:t xml:space="preserve"> concerns, those that express court-centered concerns are on significantly shakier ground. </w:t>
      </w:r>
      <w:r>
        <w:rPr>
          <w:b/>
          <w:i w:val="0"/>
          <w:smallCaps w:val="0"/>
          <w:strike w:val="0"/>
          <w:sz w:val="24"/>
          <w:highlight w:val="cyan"/>
          <w:u w:val="single"/>
        </w:rPr>
        <w:t>Barring</w:t>
      </w:r>
      <w:r>
        <w:rPr>
          <w:b w:val="0"/>
          <w:i w:val="0"/>
          <w:smallCaps w:val="0"/>
          <w:strike w:val="0"/>
          <w:sz w:val="22"/>
          <w:highlight w:val="cyan"/>
          <w:u w:val="single"/>
        </w:rPr>
        <w:t xml:space="preserve"> a</w:t>
      </w:r>
      <w:r>
        <w:rPr>
          <w:b w:val="0"/>
          <w:i w:val="0"/>
          <w:smallCaps w:val="0"/>
          <w:strike w:val="0"/>
          <w:sz w:val="22"/>
          <w:u w:val="single"/>
        </w:rPr>
        <w:t xml:space="preserve"> </w:t>
      </w:r>
      <w:r>
        <w:rPr>
          <w:b/>
          <w:i w:val="0"/>
          <w:smallCaps w:val="0"/>
          <w:strike w:val="0"/>
          <w:sz w:val="24"/>
          <w:u w:val="single"/>
        </w:rPr>
        <w:t xml:space="preserve">true </w:t>
      </w:r>
      <w:r>
        <w:rPr>
          <w:b/>
          <w:i w:val="0"/>
          <w:smallCaps w:val="0"/>
          <w:strike w:val="0"/>
          <w:sz w:val="24"/>
          <w:highlight w:val="cyan"/>
          <w:u w:val="single"/>
        </w:rPr>
        <w:t>flood</w:t>
      </w:r>
      <w:r>
        <w:rPr>
          <w:b w:val="0"/>
          <w:i w:val="0"/>
          <w:smallCaps w:val="0"/>
          <w:strike w:val="0"/>
          <w:sz w:val="22"/>
          <w:highlight w:val="cyan"/>
          <w:u w:val="single"/>
        </w:rPr>
        <w:t xml:space="preserve"> of</w:t>
      </w:r>
      <w:r>
        <w:rPr>
          <w:b w:val="0"/>
          <w:i w:val="0"/>
          <w:smallCaps w:val="0"/>
          <w:strike w:val="0"/>
          <w:sz w:val="22"/>
          <w:u w:val="single"/>
        </w:rPr>
        <w:t xml:space="preserve"> tens or hundreds of </w:t>
      </w:r>
      <w:r>
        <w:rPr>
          <w:b/>
          <w:i w:val="0"/>
          <w:smallCaps w:val="0"/>
          <w:strike w:val="0"/>
          <w:sz w:val="24"/>
          <w:highlight w:val="cyan"/>
          <w:u w:val="single"/>
        </w:rPr>
        <w:t>thousands</w:t>
      </w:r>
      <w:r>
        <w:rPr>
          <w:b w:val="0"/>
          <w:i w:val="0"/>
          <w:smallCaps w:val="0"/>
          <w:strike w:val="0"/>
          <w:sz w:val="22"/>
          <w:highlight w:val="cyan"/>
          <w:u w:val="single"/>
        </w:rPr>
        <w:t xml:space="preserve"> of cases, no</w:t>
      </w:r>
      <w:r>
        <w:rPr>
          <w:b w:val="0"/>
          <w:i w:val="0"/>
          <w:smallCaps w:val="0"/>
          <w:strike w:val="0"/>
          <w:sz w:val="22"/>
          <w:u w:val="single"/>
        </w:rPr>
        <w:t xml:space="preserve"> evident </w:t>
      </w:r>
      <w:r>
        <w:rPr>
          <w:b w:val="0"/>
          <w:i w:val="0"/>
          <w:smallCaps w:val="0"/>
          <w:strike w:val="0"/>
          <w:sz w:val="22"/>
          <w:highlight w:val="cyan"/>
          <w:u w:val="single"/>
        </w:rPr>
        <w:t>principle</w:t>
      </w:r>
      <w:r>
        <w:rPr>
          <w:b w:val="0"/>
          <w:i w:val="0"/>
          <w:smallCaps w:val="0"/>
          <w:strike w:val="0"/>
          <w:sz w:val="16"/>
          <w:u w:val="none"/>
        </w:rPr>
        <w:t xml:space="preserve"> exists to </w:t>
      </w:r>
      <w:r>
        <w:rPr>
          <w:b w:val="0"/>
          <w:i w:val="0"/>
          <w:smallCaps w:val="0"/>
          <w:strike w:val="0"/>
          <w:sz w:val="22"/>
          <w:highlight w:val="cyan"/>
          <w:u w:val="single"/>
        </w:rPr>
        <w:t>support</w:t>
      </w:r>
      <w:r>
        <w:rPr>
          <w:b w:val="0"/>
          <w:i w:val="0"/>
          <w:smallCaps w:val="0"/>
          <w:strike w:val="0"/>
          <w:sz w:val="22"/>
          <w:u w:val="single"/>
        </w:rPr>
        <w:t xml:space="preserve"> the Court taking </w:t>
      </w:r>
      <w:r>
        <w:rPr>
          <w:b/>
          <w:i w:val="0"/>
          <w:smallCaps w:val="0"/>
          <w:strike w:val="0"/>
          <w:sz w:val="24"/>
          <w:highlight w:val="cyan"/>
          <w:u w:val="single"/>
        </w:rPr>
        <w:t>workload</w:t>
      </w:r>
      <w:r>
        <w:rPr>
          <w:b w:val="0"/>
          <w:i w:val="0"/>
          <w:smallCaps w:val="0"/>
          <w:strike w:val="0"/>
          <w:sz w:val="22"/>
          <w:highlight w:val="cyan"/>
          <w:u w:val="single"/>
        </w:rPr>
        <w:t xml:space="preserve"> concerns</w:t>
      </w:r>
      <w:r>
        <w:rPr>
          <w:b w:val="0"/>
          <w:i w:val="0"/>
          <w:smallCaps w:val="0"/>
          <w:strike w:val="0"/>
          <w:sz w:val="22"/>
          <w:u w:val="single"/>
        </w:rPr>
        <w:t xml:space="preserve"> into account</w:t>
      </w:r>
      <w:r>
        <w:rPr>
          <w:b w:val="0"/>
          <w:i w:val="0"/>
          <w:smallCaps w:val="0"/>
          <w:strike w:val="0"/>
          <w:sz w:val="16"/>
          <w:u w:val="none"/>
        </w:rPr>
        <w:t xml:space="preserve"> when engaging in “[</w:t>
      </w:r>
      <w:r>
        <w:rPr>
          <w:b w:val="0"/>
          <w:i w:val="0"/>
          <w:smallCaps w:val="0"/>
          <w:strike w:val="0"/>
          <w:sz w:val="16"/>
          <w:u w:val="none"/>
        </w:rPr>
        <w:t>i</w:t>
      </w:r>
      <w:r>
        <w:rPr>
          <w:b w:val="0"/>
          <w:i w:val="0"/>
          <w:smallCaps w:val="0"/>
          <w:strike w:val="0"/>
          <w:sz w:val="16"/>
          <w:u w:val="none"/>
        </w:rPr>
        <w:t>]</w:t>
      </w:r>
      <w:r>
        <w:rPr>
          <w:b w:val="0"/>
          <w:i w:val="0"/>
          <w:smallCaps w:val="0"/>
          <w:strike w:val="0"/>
          <w:sz w:val="16"/>
          <w:u w:val="none"/>
        </w:rPr>
        <w:t>nterpretation</w:t>
      </w:r>
      <w:r>
        <w:rPr>
          <w:b w:val="0"/>
          <w:i w:val="0"/>
          <w:smallCaps w:val="0"/>
          <w:strike w:val="0"/>
          <w:sz w:val="16"/>
          <w:u w:val="none"/>
        </w:rPr>
        <w:t xml:space="preserve"> of the law.”328 Therefore, although </w:t>
      </w:r>
      <w:r>
        <w:rPr>
          <w:b w:val="0"/>
          <w:i w:val="0"/>
          <w:smallCaps w:val="0"/>
          <w:strike w:val="0"/>
          <w:sz w:val="22"/>
          <w:highlight w:val="cyan"/>
          <w:u w:val="single"/>
        </w:rPr>
        <w:t>the Court</w:t>
      </w:r>
      <w:r>
        <w:rPr>
          <w:b w:val="0"/>
          <w:i w:val="0"/>
          <w:smallCaps w:val="0"/>
          <w:strike w:val="0"/>
          <w:sz w:val="22"/>
          <w:u w:val="single"/>
        </w:rPr>
        <w:t xml:space="preserve"> may </w:t>
      </w:r>
      <w:r>
        <w:rPr>
          <w:b w:val="0"/>
          <w:i w:val="0"/>
          <w:smallCaps w:val="0"/>
          <w:strike w:val="0"/>
          <w:sz w:val="22"/>
          <w:highlight w:val="cyan"/>
          <w:u w:val="single"/>
        </w:rPr>
        <w:t xml:space="preserve">have a </w:t>
      </w:r>
      <w:r>
        <w:rPr>
          <w:b/>
          <w:i w:val="0"/>
          <w:smallCaps w:val="0"/>
          <w:strike w:val="0"/>
          <w:sz w:val="24"/>
          <w:highlight w:val="cyan"/>
          <w:u w:val="single"/>
        </w:rPr>
        <w:t>legit</w:t>
      </w:r>
      <w:r>
        <w:rPr>
          <w:b w:val="0"/>
          <w:i w:val="0"/>
          <w:smallCaps w:val="0"/>
          <w:strike w:val="0"/>
          <w:sz w:val="22"/>
          <w:u w:val="single"/>
        </w:rPr>
        <w:t xml:space="preserve">imate </w:t>
      </w:r>
      <w:r>
        <w:rPr>
          <w:b/>
          <w:i w:val="0"/>
          <w:smallCaps w:val="0"/>
          <w:strike w:val="0"/>
          <w:sz w:val="24"/>
          <w:highlight w:val="cyan"/>
          <w:u w:val="single"/>
        </w:rPr>
        <w:t>interest</w:t>
      </w:r>
      <w:r>
        <w:rPr>
          <w:b w:val="0"/>
          <w:i w:val="0"/>
          <w:smallCaps w:val="0"/>
          <w:strike w:val="0"/>
          <w:sz w:val="22"/>
          <w:highlight w:val="cyan"/>
          <w:u w:val="single"/>
        </w:rPr>
        <w:t xml:space="preserve"> in</w:t>
      </w:r>
      <w:r>
        <w:rPr>
          <w:b w:val="0"/>
          <w:i w:val="0"/>
          <w:smallCaps w:val="0"/>
          <w:strike w:val="0"/>
          <w:sz w:val="22"/>
          <w:u w:val="single"/>
        </w:rPr>
        <w:t xml:space="preserve"> ensuring that </w:t>
      </w:r>
      <w:r>
        <w:rPr>
          <w:b w:val="0"/>
          <w:i w:val="0"/>
          <w:smallCaps w:val="0"/>
          <w:strike w:val="0"/>
          <w:sz w:val="22"/>
          <w:highlight w:val="cyan"/>
          <w:u w:val="single"/>
        </w:rPr>
        <w:t xml:space="preserve">the </w:t>
      </w:r>
      <w:r>
        <w:rPr>
          <w:b/>
          <w:i w:val="0"/>
          <w:smallCaps w:val="0"/>
          <w:strike w:val="0"/>
          <w:sz w:val="24"/>
          <w:highlight w:val="cyan"/>
          <w:u w:val="single"/>
        </w:rPr>
        <w:t>number of filings</w:t>
      </w:r>
      <w:r>
        <w:rPr>
          <w:b w:val="0"/>
          <w:i w:val="0"/>
          <w:smallCaps w:val="0"/>
          <w:strike w:val="0"/>
          <w:sz w:val="22"/>
          <w:u w:val="single"/>
        </w:rPr>
        <w:t xml:space="preserve">, and particularly </w:t>
      </w:r>
      <w:r>
        <w:rPr>
          <w:b/>
          <w:i w:val="0"/>
          <w:smallCaps w:val="0"/>
          <w:strike w:val="0"/>
          <w:sz w:val="24"/>
          <w:u w:val="single"/>
        </w:rPr>
        <w:t>frivolous</w:t>
      </w:r>
      <w:r>
        <w:rPr>
          <w:b w:val="0"/>
          <w:i w:val="0"/>
          <w:smallCaps w:val="0"/>
          <w:strike w:val="0"/>
          <w:sz w:val="22"/>
          <w:u w:val="single"/>
        </w:rPr>
        <w:t xml:space="preserve"> filings, </w:t>
      </w:r>
      <w:r>
        <w:rPr>
          <w:b w:val="0"/>
          <w:i w:val="0"/>
          <w:smallCaps w:val="0"/>
          <w:strike w:val="0"/>
          <w:sz w:val="22"/>
          <w:highlight w:val="cyan"/>
          <w:u w:val="single"/>
        </w:rPr>
        <w:t xml:space="preserve">does not become </w:t>
      </w:r>
      <w:r>
        <w:rPr>
          <w:b/>
          <w:i w:val="0"/>
          <w:smallCaps w:val="0"/>
          <w:strike w:val="0"/>
          <w:sz w:val="24"/>
          <w:highlight w:val="cyan"/>
          <w:u w:val="single"/>
        </w:rPr>
        <w:t>too high</w:t>
      </w:r>
      <w:r>
        <w:rPr>
          <w:b w:val="0"/>
          <w:i w:val="0"/>
          <w:smallCaps w:val="0"/>
          <w:strike w:val="0"/>
          <w:sz w:val="16"/>
          <w:u w:val="none"/>
        </w:rPr>
        <w:t xml:space="preserve">, it should be wary of using substantive law as the limiting device. Speaking of unmeritorious cases in particular, Justice Stevens has argued, “Frivolous cases should be treated as exactly that, and not as occasions for fundamental shifts in legal doctrine. Our legal system has developed procedures for speedily disposing of unfounded claims; if they are inadequate . . . then there is something wrong with those procedures, not with the law.”329 Accordingly, the Court should have a presumption against using court-centered floodgates arguments. </w:t>
      </w:r>
      <w:r>
        <w:rPr>
          <w:b w:val="0"/>
          <w:i w:val="0"/>
          <w:smallCaps w:val="0"/>
          <w:strike w:val="0"/>
          <w:sz w:val="22"/>
          <w:u w:val="single"/>
        </w:rPr>
        <w:t xml:space="preserve">The problems of </w:t>
      </w:r>
      <w:r>
        <w:rPr>
          <w:b/>
          <w:i w:val="0"/>
          <w:smallCaps w:val="0"/>
          <w:strike w:val="0"/>
          <w:sz w:val="24"/>
          <w:highlight w:val="cyan"/>
          <w:u w:val="single"/>
        </w:rPr>
        <w:t>case</w:t>
      </w:r>
      <w:r>
        <w:rPr>
          <w:b/>
          <w:i w:val="0"/>
          <w:smallCaps w:val="0"/>
          <w:strike w:val="0"/>
          <w:sz w:val="24"/>
          <w:highlight w:val="cyan"/>
          <w:u w:val="single"/>
        </w:rPr>
        <w:t xml:space="preserve"> flow</w:t>
      </w:r>
      <w:r>
        <w:rPr>
          <w:b w:val="0"/>
          <w:i w:val="0"/>
          <w:smallCaps w:val="0"/>
          <w:strike w:val="0"/>
          <w:sz w:val="22"/>
          <w:highlight w:val="cyan"/>
          <w:u w:val="single"/>
        </w:rPr>
        <w:t xml:space="preserve"> should be addressed through</w:t>
      </w:r>
      <w:r>
        <w:rPr>
          <w:b w:val="0"/>
          <w:i w:val="0"/>
          <w:smallCaps w:val="0"/>
          <w:strike w:val="0"/>
          <w:sz w:val="22"/>
          <w:u w:val="single"/>
        </w:rPr>
        <w:t xml:space="preserve"> case </w:t>
      </w:r>
      <w:r>
        <w:rPr>
          <w:b/>
          <w:i w:val="0"/>
          <w:smallCaps w:val="0"/>
          <w:strike w:val="0"/>
          <w:sz w:val="24"/>
          <w:highlight w:val="cyan"/>
          <w:u w:val="single"/>
        </w:rPr>
        <w:t>management</w:t>
      </w:r>
      <w:r>
        <w:rPr>
          <w:b w:val="0"/>
          <w:i w:val="0"/>
          <w:smallCaps w:val="0"/>
          <w:strike w:val="0"/>
          <w:sz w:val="16"/>
          <w:u w:val="none"/>
        </w:rPr>
        <w:t xml:space="preserve"> and, more broadly, the tools of Congress.</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