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Docket management </w:t>
      </w:r>
      <w:r>
        <w:rPr>
          <w:b/>
          <w:i w:val="0"/>
          <w:smallCaps w:val="0"/>
          <w:strike w:val="0"/>
          <w:sz w:val="26"/>
          <w:u w:val="single"/>
        </w:rPr>
        <w:t>works</w:t>
      </w:r>
      <w:r>
        <w:rPr>
          <w:b/>
          <w:i w:val="0"/>
          <w:smallCaps w:val="0"/>
          <w:strike w:val="0"/>
          <w:sz w:val="26"/>
          <w:u w:val="none"/>
        </w:rPr>
        <w:t xml:space="preserve">.  </w:t>
      </w:r>
    </w:p>
    <w:p>
      <w:pPr>
        <w:spacing w:after="80"/>
      </w:pPr>
      <w:r>
        <w:rPr>
          <w:b/>
          <w:i w:val="0"/>
          <w:smallCaps w:val="0"/>
          <w:strike w:val="0"/>
          <w:sz w:val="26"/>
          <w:u w:val="none"/>
        </w:rPr>
        <w:t xml:space="preserve">Denning ’17 </w:t>
      </w:r>
      <w:r>
        <w:rPr>
          <w:b w:val="0"/>
          <w:i w:val="0"/>
          <w:smallCaps w:val="0"/>
          <w:strike w:val="0"/>
          <w:u w:val="none"/>
        </w:rPr>
        <w:t>[Brannon and Sarah Bothma; 2017; Associate Dean and Professor at the Cumberland School of Law at Samford University; B.A. from the University of North Carolina, Asheville, J.D. from the Cumberland School of Law at Samford University, and LL.M. from New York University; Lewis and Clark Law Review, “Zone-of-Interests Standing in Constitutional Cases After Lexmark,” vol. 21]</w:t>
      </w:r>
    </w:p>
    <w:p>
      <w:pPr>
        <w:spacing w:after="60"/>
      </w:pPr>
      <w:r>
        <w:rPr>
          <w:b w:val="0"/>
          <w:i w:val="0"/>
          <w:smallCaps w:val="0"/>
          <w:strike w:val="0"/>
          <w:sz w:val="16"/>
          <w:u w:val="none"/>
        </w:rPr>
        <w:t xml:space="preserve">Justice Scalia's dissent is one version of a familiar judicial trope: that the recognition of a particular type of claim will "open the floodgates," potentially overwhelming lower courts and perhaps even the Supreme Court itself. 281 </w:t>
      </w:r>
      <w:r>
        <w:rPr>
          <w:b w:val="0"/>
          <w:i w:val="0"/>
          <w:smallCaps w:val="0"/>
          <w:strike w:val="0"/>
          <w:sz w:val="22"/>
          <w:u w:val="single"/>
        </w:rPr>
        <w:t xml:space="preserve">Recent </w:t>
      </w:r>
      <w:r>
        <w:rPr>
          <w:b w:val="0"/>
          <w:i w:val="0"/>
          <w:smallCaps w:val="0"/>
          <w:strike w:val="0"/>
          <w:sz w:val="22"/>
          <w:u w:val="single"/>
        </w:rPr>
        <w:t>scholarship</w:t>
      </w:r>
      <w:r>
        <w:rPr>
          <w:b w:val="0"/>
          <w:i w:val="0"/>
          <w:smallCaps w:val="0"/>
          <w:strike w:val="0"/>
          <w:sz w:val="16"/>
          <w:u w:val="none"/>
        </w:rPr>
        <w:t xml:space="preserve">, however, </w:t>
      </w:r>
      <w:r>
        <w:rPr>
          <w:b w:val="0"/>
          <w:i w:val="0"/>
          <w:smallCaps w:val="0"/>
          <w:strike w:val="0"/>
          <w:sz w:val="22"/>
          <w:u w:val="single"/>
        </w:rPr>
        <w:t xml:space="preserve">has persuasively argued that the particular version of </w:t>
      </w:r>
      <w:r>
        <w:rPr>
          <w:b w:val="0"/>
          <w:i w:val="0"/>
          <w:smallCaps w:val="0"/>
          <w:strike w:val="0"/>
          <w:sz w:val="22"/>
          <w:highlight w:val="cyan"/>
          <w:u w:val="single"/>
        </w:rPr>
        <w:t xml:space="preserve">the "floodgates </w:t>
      </w:r>
      <w:r>
        <w:rPr>
          <w:b/>
          <w:i w:val="0"/>
          <w:smallCaps w:val="0"/>
          <w:strike w:val="0"/>
          <w:sz w:val="24"/>
          <w:highlight w:val="cyan"/>
          <w:u w:val="single"/>
        </w:rPr>
        <w:t>arg</w:t>
      </w:r>
      <w:r>
        <w:rPr>
          <w:b w:val="0"/>
          <w:i w:val="0"/>
          <w:smallCaps w:val="0"/>
          <w:strike w:val="0"/>
          <w:sz w:val="22"/>
          <w:u w:val="single"/>
        </w:rPr>
        <w:t>ument" offered up</w:t>
      </w:r>
      <w:r>
        <w:rPr>
          <w:b w:val="0"/>
          <w:i w:val="0"/>
          <w:smallCaps w:val="0"/>
          <w:strike w:val="0"/>
          <w:sz w:val="16"/>
          <w:u w:val="none"/>
        </w:rPr>
        <w:t xml:space="preserve"> by Justice Scalia </w:t>
      </w:r>
      <w:r>
        <w:rPr>
          <w:b w:val="0"/>
          <w:i w:val="0"/>
          <w:smallCaps w:val="0"/>
          <w:strike w:val="0"/>
          <w:sz w:val="22"/>
          <w:highlight w:val="cyan"/>
          <w:u w:val="single"/>
        </w:rPr>
        <w:t>is</w:t>
      </w:r>
      <w:r>
        <w:rPr>
          <w:b w:val="0"/>
          <w:i w:val="0"/>
          <w:smallCaps w:val="0"/>
          <w:strike w:val="0"/>
          <w:sz w:val="16"/>
          <w:u w:val="none"/>
        </w:rPr>
        <w:t xml:space="preserve">, in fact, </w:t>
      </w:r>
      <w:r>
        <w:rPr>
          <w:b w:val="0"/>
          <w:i w:val="0"/>
          <w:smallCaps w:val="0"/>
          <w:strike w:val="0"/>
          <w:sz w:val="22"/>
          <w:u w:val="single"/>
        </w:rPr>
        <w:t xml:space="preserve">the </w:t>
      </w:r>
      <w:r>
        <w:rPr>
          <w:b w:val="0"/>
          <w:i w:val="0"/>
          <w:smallCaps w:val="0"/>
          <w:strike w:val="0"/>
          <w:sz w:val="22"/>
          <w:highlight w:val="cyan"/>
          <w:u w:val="single"/>
        </w:rPr>
        <w:t>least</w:t>
      </w:r>
      <w:r>
        <w:rPr>
          <w:b w:val="0"/>
          <w:i w:val="0"/>
          <w:smallCaps w:val="0"/>
          <w:strike w:val="0"/>
          <w:sz w:val="22"/>
          <w:u w:val="single"/>
        </w:rPr>
        <w:t xml:space="preserve"> normatively </w:t>
      </w:r>
      <w:r>
        <w:rPr>
          <w:b w:val="0"/>
          <w:i w:val="0"/>
          <w:smallCaps w:val="0"/>
          <w:strike w:val="0"/>
          <w:sz w:val="22"/>
          <w:highlight w:val="cyan"/>
          <w:u w:val="single"/>
        </w:rPr>
        <w:t>defensible</w:t>
      </w:r>
      <w:r>
        <w:rPr>
          <w:b w:val="0"/>
          <w:i w:val="0"/>
          <w:smallCaps w:val="0"/>
          <w:strike w:val="0"/>
          <w:sz w:val="22"/>
          <w:u w:val="single"/>
        </w:rPr>
        <w:t xml:space="preserve"> one</w:t>
      </w:r>
      <w:r>
        <w:rPr>
          <w:b w:val="0"/>
          <w:i w:val="0"/>
          <w:smallCaps w:val="0"/>
          <w:strike w:val="0"/>
          <w:sz w:val="16"/>
          <w:u w:val="none"/>
        </w:rPr>
        <w:t>.</w:t>
      </w:r>
    </w:p>
    <w:p>
      <w:pPr>
        <w:spacing w:after="60"/>
      </w:pPr>
      <w:r>
        <w:rPr>
          <w:b w:val="0"/>
          <w:i w:val="0"/>
          <w:smallCaps w:val="0"/>
          <w:strike w:val="0"/>
          <w:sz w:val="16"/>
          <w:u w:val="none"/>
        </w:rPr>
        <w:t>Professor Marin Levy recently offered a taxonomy of floodgates arguments made by Justices since the 1940s. She generally classifies them as expressing (1) "interbranch concerns"; (2) "</w:t>
      </w:r>
      <w:r>
        <w:rPr>
          <w:b w:val="0"/>
          <w:i w:val="0"/>
          <w:smallCaps w:val="0"/>
          <w:strike w:val="0"/>
          <w:sz w:val="16"/>
          <w:u w:val="none"/>
        </w:rPr>
        <w:t>intersystemic</w:t>
      </w:r>
      <w:r>
        <w:rPr>
          <w:b w:val="0"/>
          <w:i w:val="0"/>
          <w:smallCaps w:val="0"/>
          <w:strike w:val="0"/>
          <w:sz w:val="16"/>
          <w:u w:val="none"/>
        </w:rPr>
        <w:t xml:space="preserve"> concerns"; and (3) "court-centered [concerns]." 282 She further subdivided interbranch concerns into those that worry about burdening the executive branch 283 and those that have the courts encroach on the legislative branch. 284 </w:t>
      </w:r>
      <w:r>
        <w:rPr>
          <w:b w:val="0"/>
          <w:i w:val="0"/>
          <w:smallCaps w:val="0"/>
          <w:strike w:val="0"/>
          <w:sz w:val="16"/>
          <w:u w:val="none"/>
        </w:rPr>
        <w:t>Intersystemic</w:t>
      </w:r>
      <w:r>
        <w:rPr>
          <w:b w:val="0"/>
          <w:i w:val="0"/>
          <w:smallCaps w:val="0"/>
          <w:strike w:val="0"/>
          <w:sz w:val="16"/>
          <w:u w:val="none"/>
        </w:rPr>
        <w:t xml:space="preserve"> concerns she also subdivided into concerns about taking too many cases from state courts 285 and placing too many cases or obligations in or on state courts. 286 Finally, she distinguished </w:t>
      </w:r>
      <w:r>
        <w:rPr>
          <w:b w:val="0"/>
          <w:i w:val="0"/>
          <w:smallCaps w:val="0"/>
          <w:strike w:val="0"/>
          <w:sz w:val="16"/>
          <w:u w:val="none"/>
        </w:rPr>
        <w:t>between  [</w:t>
      </w:r>
      <w:r>
        <w:rPr>
          <w:b w:val="0"/>
          <w:i w:val="0"/>
          <w:smallCaps w:val="0"/>
          <w:strike w:val="0"/>
          <w:sz w:val="16"/>
          <w:u w:val="none"/>
        </w:rPr>
        <w:t>*140]  court-centered concerns in which the Court worries that "a given holding will unleash a flood of new claims - particularly frivolous claims," 287 and those that could flood the courts with what she terms "standard claims," 288 or those "cases in which the merits of the claims in the flood were not in doubt." 289</w:t>
      </w:r>
    </w:p>
    <w:p>
      <w:pPr>
        <w:spacing w:after="60"/>
      </w:pPr>
      <w:r>
        <w:rPr>
          <w:b w:val="0"/>
          <w:i w:val="0"/>
          <w:smallCaps w:val="0"/>
          <w:strike w:val="0"/>
          <w:sz w:val="16"/>
          <w:u w:val="none"/>
        </w:rPr>
        <w:t xml:space="preserve">Justice Scalia's Wyoming dissent would be properly classified as expressing a court-centered concern that meritorious DCCD would flood the courts and - if the Court's original jurisdiction is invoked by states suing other states - perhaps the Supreme Court itself. Justice Scalia implied that complaints the Oklahoma statute was unconstitutional had merit because he readily conceded that Wyoming coal producers would easily have </w:t>
      </w:r>
      <w:r>
        <w:rPr>
          <w:b w:val="0"/>
          <w:i w:val="0"/>
          <w:smallCaps w:val="0"/>
          <w:strike w:val="0"/>
          <w:sz w:val="16"/>
          <w:u w:val="none"/>
        </w:rPr>
        <w:t>standing</w:t>
      </w:r>
      <w:r>
        <w:rPr>
          <w:b w:val="0"/>
          <w:i w:val="0"/>
          <w:smallCaps w:val="0"/>
          <w:strike w:val="0"/>
          <w:sz w:val="16"/>
          <w:u w:val="none"/>
        </w:rPr>
        <w:t xml:space="preserve"> to challenge the discriminatory law. 290</w:t>
      </w:r>
    </w:p>
    <w:p>
      <w:pPr>
        <w:spacing w:after="60"/>
      </w:pPr>
      <w:r>
        <w:rPr>
          <w:b w:val="0"/>
          <w:i w:val="0"/>
          <w:smallCaps w:val="0"/>
          <w:strike w:val="0"/>
          <w:sz w:val="16"/>
          <w:u w:val="none"/>
        </w:rPr>
        <w:t>Assuming that</w:t>
      </w:r>
      <w:r>
        <w:rPr>
          <w:b w:val="0"/>
          <w:i w:val="0"/>
          <w:smallCaps w:val="0"/>
          <w:strike w:val="0"/>
          <w:sz w:val="16"/>
          <w:u w:val="none"/>
        </w:rPr>
        <w:t xml:space="preserve"> applying a stringent zone-of-interests standing test in DCCD (and other constitutional) cases would reduce their number, stem any incipient flood of cases, and otherwise promote judicial economy, is that reduction desirable? Defensible?</w:t>
      </w:r>
    </w:p>
    <w:p>
      <w:pPr>
        <w:spacing w:after="60"/>
      </w:pPr>
      <w:r>
        <w:rPr>
          <w:b w:val="0"/>
          <w:i w:val="0"/>
          <w:smallCaps w:val="0"/>
          <w:strike w:val="0"/>
          <w:sz w:val="16"/>
          <w:u w:val="none"/>
        </w:rPr>
        <w:t xml:space="preserve">Professor </w:t>
      </w:r>
      <w:r>
        <w:rPr>
          <w:b w:val="0"/>
          <w:i w:val="0"/>
          <w:smallCaps w:val="0"/>
          <w:strike w:val="0"/>
          <w:sz w:val="22"/>
          <w:u w:val="single"/>
        </w:rPr>
        <w:t>Levy</w:t>
      </w:r>
      <w:r>
        <w:rPr>
          <w:b w:val="0"/>
          <w:i w:val="0"/>
          <w:smallCaps w:val="0"/>
          <w:strike w:val="0"/>
          <w:sz w:val="16"/>
          <w:u w:val="none"/>
        </w:rPr>
        <w:t xml:space="preserve"> has her doubts and </w:t>
      </w:r>
      <w:r>
        <w:rPr>
          <w:b w:val="0"/>
          <w:i w:val="0"/>
          <w:smallCaps w:val="0"/>
          <w:strike w:val="0"/>
          <w:sz w:val="22"/>
          <w:u w:val="single"/>
        </w:rPr>
        <w:t xml:space="preserve">offers </w:t>
      </w:r>
      <w:r>
        <w:rPr>
          <w:b w:val="0"/>
          <w:i w:val="0"/>
          <w:smallCaps w:val="0"/>
          <w:strike w:val="0"/>
          <w:sz w:val="22"/>
          <w:u w:val="single"/>
        </w:rPr>
        <w:t>a number of</w:t>
      </w:r>
      <w:r>
        <w:rPr>
          <w:b w:val="0"/>
          <w:i w:val="0"/>
          <w:smallCaps w:val="0"/>
          <w:strike w:val="0"/>
          <w:sz w:val="22"/>
          <w:u w:val="single"/>
        </w:rPr>
        <w:t xml:space="preserve"> reasons why court-centered </w:t>
      </w:r>
      <w:r>
        <w:rPr>
          <w:b w:val="0"/>
          <w:i w:val="0"/>
          <w:smallCaps w:val="0"/>
          <w:strike w:val="0"/>
          <w:sz w:val="22"/>
          <w:highlight w:val="cyan"/>
          <w:u w:val="single"/>
        </w:rPr>
        <w:t>concerns about</w:t>
      </w:r>
      <w:r>
        <w:rPr>
          <w:b w:val="0"/>
          <w:i w:val="0"/>
          <w:smallCaps w:val="0"/>
          <w:strike w:val="0"/>
          <w:sz w:val="22"/>
          <w:u w:val="single"/>
        </w:rPr>
        <w:t xml:space="preserve"> judicial </w:t>
      </w:r>
      <w:r>
        <w:rPr>
          <w:b w:val="0"/>
          <w:i w:val="0"/>
          <w:smallCaps w:val="0"/>
          <w:strike w:val="0"/>
          <w:sz w:val="22"/>
          <w:highlight w:val="cyan"/>
          <w:u w:val="single"/>
        </w:rPr>
        <w:t xml:space="preserve">volume are </w:t>
      </w:r>
      <w:r>
        <w:rPr>
          <w:b/>
          <w:i w:val="0"/>
          <w:smallCaps w:val="0"/>
          <w:strike w:val="0"/>
          <w:sz w:val="24"/>
          <w:highlight w:val="cyan"/>
          <w:u w:val="single"/>
        </w:rPr>
        <w:t>suspect</w:t>
      </w:r>
      <w:r>
        <w:rPr>
          <w:b w:val="0"/>
          <w:i w:val="0"/>
          <w:smallCaps w:val="0"/>
          <w:strike w:val="0"/>
          <w:sz w:val="16"/>
          <w:u w:val="none"/>
        </w:rPr>
        <w:t xml:space="preserve">. First, such concerns invoke the "self-regarding or even "self-interested'" reason for not hearing cases "that the federal courts will have additional cases to decide (which is, of course, precisely their official obligation)." 291 Second, "it is unclear just what provision in the Constitution could justify using workload concerns as an independent basis to alter substantive law or decline to hear a case." 292 In addition, Article III seems to grant Congress - not the judiciary - the power to reduce volume by alteration of the courts' jurisdiction. 293 Another commentator put it bluntly: floodgates claims "simply </w:t>
      </w:r>
      <w:r>
        <w:rPr>
          <w:b w:val="0"/>
          <w:i w:val="0"/>
          <w:smallCaps w:val="0"/>
          <w:strike w:val="0"/>
          <w:sz w:val="16"/>
          <w:u w:val="none"/>
        </w:rPr>
        <w:t>lack[</w:t>
      </w:r>
      <w:r>
        <w:rPr>
          <w:b w:val="0"/>
          <w:i w:val="0"/>
          <w:smallCaps w:val="0"/>
          <w:strike w:val="0"/>
          <w:sz w:val="16"/>
          <w:u w:val="none"/>
        </w:rPr>
        <w:t>] a proper basis in the law." 294</w:t>
      </w:r>
    </w:p>
    <w:p>
      <w:pPr>
        <w:spacing w:after="60"/>
      </w:pPr>
      <w:r>
        <w:rPr>
          <w:b w:val="0"/>
          <w:i w:val="0"/>
          <w:smallCaps w:val="0"/>
          <w:strike w:val="0"/>
          <w:sz w:val="16"/>
          <w:u w:val="none"/>
        </w:rPr>
        <w:t>We think that any analogous attempt to justify the retention of zone-of-interests standing in constitutional cases in the name of judicial economy likewise "needs some sort of affirmative normative justification - a  [*141]  justification that the justices have yet to offer." 295 Prudential standing rules generally close the courthouse door to plaintiffs who have satisfied Article III standing in the name of vague and undertheorized notions of judicial "prudence," which to us are as self-regarding as floodgates arguments and similarly lacking in constitutional foundation. Moreover, if there is to be any prudential withdrawal of jurisdiction from classes of cases, it seems like Congress is the constitutionally appropriate branch to do the withdrawing.</w:t>
      </w:r>
    </w:p>
    <w:p>
      <w:pPr>
        <w:spacing w:after="60"/>
      </w:pPr>
      <w:r>
        <w:rPr>
          <w:b w:val="0"/>
          <w:i w:val="0"/>
          <w:smallCaps w:val="0"/>
          <w:strike w:val="0"/>
          <w:sz w:val="16"/>
          <w:u w:val="none"/>
        </w:rPr>
        <w:t xml:space="preserve">Finally, Levy noted that </w:t>
      </w:r>
      <w:r>
        <w:rPr>
          <w:b w:val="0"/>
          <w:i w:val="0"/>
          <w:smallCaps w:val="0"/>
          <w:strike w:val="0"/>
          <w:sz w:val="22"/>
          <w:u w:val="single"/>
        </w:rPr>
        <w:t xml:space="preserve">the </w:t>
      </w:r>
      <w:r>
        <w:rPr>
          <w:b w:val="0"/>
          <w:i w:val="0"/>
          <w:smallCaps w:val="0"/>
          <w:strike w:val="0"/>
          <w:sz w:val="22"/>
          <w:highlight w:val="cyan"/>
          <w:u w:val="single"/>
        </w:rPr>
        <w:t xml:space="preserve">judiciary </w:t>
      </w:r>
      <w:r>
        <w:rPr>
          <w:b/>
          <w:i w:val="0"/>
          <w:smallCaps w:val="0"/>
          <w:strike w:val="0"/>
          <w:sz w:val="24"/>
          <w:highlight w:val="cyan"/>
          <w:u w:val="single"/>
        </w:rPr>
        <w:t>already</w:t>
      </w:r>
      <w:r>
        <w:rPr>
          <w:b w:val="0"/>
          <w:i w:val="0"/>
          <w:smallCaps w:val="0"/>
          <w:strike w:val="0"/>
          <w:sz w:val="22"/>
          <w:highlight w:val="cyan"/>
          <w:u w:val="single"/>
        </w:rPr>
        <w:t xml:space="preserve"> </w:t>
      </w:r>
      <w:r>
        <w:rPr>
          <w:b/>
          <w:i w:val="0"/>
          <w:smallCaps w:val="0"/>
          <w:strike w:val="0"/>
          <w:sz w:val="24"/>
          <w:highlight w:val="cyan"/>
          <w:u w:val="single"/>
        </w:rPr>
        <w:t>has</w:t>
      </w:r>
      <w:r>
        <w:rPr>
          <w:b w:val="0"/>
          <w:i w:val="0"/>
          <w:smallCaps w:val="0"/>
          <w:strike w:val="0"/>
          <w:sz w:val="22"/>
          <w:highlight w:val="cyan"/>
          <w:u w:val="single"/>
        </w:rPr>
        <w:t xml:space="preserve"> tools</w:t>
      </w:r>
      <w:r>
        <w:rPr>
          <w:b w:val="0"/>
          <w:i w:val="0"/>
          <w:smallCaps w:val="0"/>
          <w:strike w:val="0"/>
          <w:sz w:val="22"/>
          <w:u w:val="single"/>
        </w:rPr>
        <w:t xml:space="preserve"> at its disposal </w:t>
      </w:r>
      <w:r>
        <w:rPr>
          <w:b w:val="0"/>
          <w:i w:val="0"/>
          <w:smallCaps w:val="0"/>
          <w:strike w:val="0"/>
          <w:sz w:val="22"/>
          <w:highlight w:val="cyan"/>
          <w:u w:val="single"/>
        </w:rPr>
        <w:t xml:space="preserve">to </w:t>
      </w:r>
      <w:r>
        <w:rPr>
          <w:b/>
          <w:i w:val="0"/>
          <w:smallCaps w:val="0"/>
          <w:strike w:val="0"/>
          <w:sz w:val="24"/>
          <w:highlight w:val="cyan"/>
          <w:u w:val="single"/>
        </w:rPr>
        <w:t>manage</w:t>
      </w:r>
      <w:r>
        <w:rPr>
          <w:b/>
          <w:i w:val="0"/>
          <w:smallCaps w:val="0"/>
          <w:strike w:val="0"/>
          <w:sz w:val="24"/>
          <w:u w:val="single"/>
        </w:rPr>
        <w:t xml:space="preserve"> its </w:t>
      </w:r>
      <w:r>
        <w:rPr>
          <w:b/>
          <w:i w:val="0"/>
          <w:smallCaps w:val="0"/>
          <w:strike w:val="0"/>
          <w:sz w:val="24"/>
          <w:highlight w:val="cyan"/>
          <w:u w:val="single"/>
        </w:rPr>
        <w:t>caseload</w:t>
      </w:r>
      <w:r>
        <w:rPr>
          <w:b w:val="0"/>
          <w:i w:val="0"/>
          <w:smallCaps w:val="0"/>
          <w:strike w:val="0"/>
          <w:sz w:val="22"/>
          <w:u w:val="single"/>
        </w:rPr>
        <w:t xml:space="preserve">. The Federal </w:t>
      </w:r>
      <w:r>
        <w:rPr>
          <w:b w:val="0"/>
          <w:i w:val="0"/>
          <w:smallCaps w:val="0"/>
          <w:strike w:val="0"/>
          <w:sz w:val="22"/>
          <w:highlight w:val="cyan"/>
          <w:u w:val="single"/>
        </w:rPr>
        <w:t>Rules of</w:t>
      </w:r>
      <w:r>
        <w:rPr>
          <w:b w:val="0"/>
          <w:i w:val="0"/>
          <w:smallCaps w:val="0"/>
          <w:strike w:val="0"/>
          <w:sz w:val="22"/>
          <w:u w:val="single"/>
        </w:rPr>
        <w:t xml:space="preserve"> Civil </w:t>
      </w:r>
      <w:r>
        <w:rPr>
          <w:b w:val="0"/>
          <w:i w:val="0"/>
          <w:smallCaps w:val="0"/>
          <w:strike w:val="0"/>
          <w:sz w:val="22"/>
          <w:highlight w:val="cyan"/>
          <w:u w:val="single"/>
        </w:rPr>
        <w:t xml:space="preserve">Procedure permit </w:t>
      </w:r>
      <w:r>
        <w:rPr>
          <w:b/>
          <w:i w:val="0"/>
          <w:smallCaps w:val="0"/>
          <w:strike w:val="0"/>
          <w:sz w:val="24"/>
          <w:highlight w:val="cyan"/>
          <w:u w:val="single"/>
        </w:rPr>
        <w:t>summary judgment</w:t>
      </w:r>
      <w:r>
        <w:rPr>
          <w:b w:val="0"/>
          <w:i w:val="0"/>
          <w:smallCaps w:val="0"/>
          <w:strike w:val="0"/>
          <w:sz w:val="22"/>
          <w:u w:val="single"/>
        </w:rPr>
        <w:t xml:space="preserve"> to </w:t>
      </w:r>
      <w:r>
        <w:rPr>
          <w:b/>
          <w:i w:val="0"/>
          <w:smallCaps w:val="0"/>
          <w:strike w:val="0"/>
          <w:sz w:val="24"/>
          <w:u w:val="single"/>
        </w:rPr>
        <w:t>quickly</w:t>
      </w:r>
      <w:r>
        <w:rPr>
          <w:b w:val="0"/>
          <w:i w:val="0"/>
          <w:smallCaps w:val="0"/>
          <w:strike w:val="0"/>
          <w:sz w:val="22"/>
          <w:u w:val="single"/>
        </w:rPr>
        <w:t xml:space="preserve"> resolve cases whose facts are not in dispute</w:t>
      </w:r>
      <w:r>
        <w:rPr>
          <w:b w:val="0"/>
          <w:i w:val="0"/>
          <w:smallCaps w:val="0"/>
          <w:strike w:val="0"/>
          <w:sz w:val="16"/>
          <w:u w:val="none"/>
        </w:rPr>
        <w:t xml:space="preserve">. 296 </w:t>
      </w:r>
      <w:r>
        <w:rPr>
          <w:b w:val="0"/>
          <w:i w:val="0"/>
          <w:smallCaps w:val="0"/>
          <w:strike w:val="0"/>
          <w:sz w:val="22"/>
          <w:highlight w:val="cyan"/>
          <w:u w:val="single"/>
        </w:rPr>
        <w:t>Courts can</w:t>
      </w:r>
      <w:r>
        <w:rPr>
          <w:b w:val="0"/>
          <w:i w:val="0"/>
          <w:smallCaps w:val="0"/>
          <w:strike w:val="0"/>
          <w:sz w:val="22"/>
          <w:u w:val="single"/>
        </w:rPr>
        <w:t xml:space="preserve"> also </w:t>
      </w:r>
      <w:r>
        <w:rPr>
          <w:b/>
          <w:i w:val="0"/>
          <w:smallCaps w:val="0"/>
          <w:strike w:val="0"/>
          <w:sz w:val="24"/>
          <w:highlight w:val="cyan"/>
          <w:u w:val="single"/>
        </w:rPr>
        <w:t>sanction</w:t>
      </w:r>
      <w:r>
        <w:rPr>
          <w:b w:val="0"/>
          <w:i w:val="0"/>
          <w:smallCaps w:val="0"/>
          <w:strike w:val="0"/>
          <w:sz w:val="22"/>
          <w:u w:val="single"/>
        </w:rPr>
        <w:t xml:space="preserve"> attorneys who bring </w:t>
      </w:r>
      <w:r>
        <w:rPr>
          <w:b w:val="0"/>
          <w:i w:val="0"/>
          <w:smallCaps w:val="0"/>
          <w:strike w:val="0"/>
          <w:sz w:val="22"/>
          <w:highlight w:val="cyan"/>
          <w:u w:val="single"/>
        </w:rPr>
        <w:t>frivolous claims</w:t>
      </w:r>
      <w:r>
        <w:rPr>
          <w:b w:val="0"/>
          <w:i w:val="0"/>
          <w:smallCaps w:val="0"/>
          <w:strike w:val="0"/>
          <w:sz w:val="16"/>
          <w:u w:val="none"/>
        </w:rPr>
        <w:t xml:space="preserve">. 297 </w:t>
      </w:r>
      <w:r>
        <w:rPr>
          <w:b w:val="0"/>
          <w:i w:val="0"/>
          <w:smallCaps w:val="0"/>
          <w:strike w:val="0"/>
          <w:sz w:val="22"/>
          <w:u w:val="single"/>
        </w:rPr>
        <w:t>Moreover</w:t>
      </w:r>
      <w:r>
        <w:rPr>
          <w:b w:val="0"/>
          <w:i w:val="0"/>
          <w:smallCaps w:val="0"/>
          <w:strike w:val="0"/>
          <w:sz w:val="22"/>
          <w:u w:val="single"/>
        </w:rPr>
        <w:t xml:space="preserve">, the </w:t>
      </w:r>
      <w:r>
        <w:rPr>
          <w:b w:val="0"/>
          <w:i w:val="0"/>
          <w:smallCaps w:val="0"/>
          <w:strike w:val="0"/>
          <w:sz w:val="22"/>
          <w:highlight w:val="cyan"/>
          <w:u w:val="single"/>
        </w:rPr>
        <w:t>Court</w:t>
      </w:r>
      <w:r>
        <w:rPr>
          <w:b w:val="0"/>
          <w:i w:val="0"/>
          <w:smallCaps w:val="0"/>
          <w:strike w:val="0"/>
          <w:sz w:val="22"/>
          <w:u w:val="single"/>
        </w:rPr>
        <w:t xml:space="preserve"> has recently </w:t>
      </w:r>
      <w:r>
        <w:rPr>
          <w:b w:val="0"/>
          <w:i w:val="0"/>
          <w:smallCaps w:val="0"/>
          <w:strike w:val="0"/>
          <w:sz w:val="22"/>
          <w:highlight w:val="cyan"/>
          <w:u w:val="single"/>
        </w:rPr>
        <w:t xml:space="preserve">tightened </w:t>
      </w:r>
      <w:r>
        <w:rPr>
          <w:b/>
          <w:i w:val="0"/>
          <w:smallCaps w:val="0"/>
          <w:strike w:val="0"/>
          <w:sz w:val="24"/>
          <w:highlight w:val="cyan"/>
          <w:u w:val="single"/>
        </w:rPr>
        <w:t>pleading requirements</w:t>
      </w:r>
      <w:r>
        <w:rPr>
          <w:b w:val="0"/>
          <w:i w:val="0"/>
          <w:smallCaps w:val="0"/>
          <w:strike w:val="0"/>
          <w:sz w:val="22"/>
          <w:highlight w:val="cyan"/>
          <w:u w:val="single"/>
        </w:rPr>
        <w:t xml:space="preserve"> in</w:t>
      </w:r>
      <w:r>
        <w:rPr>
          <w:b w:val="0"/>
          <w:i w:val="0"/>
          <w:smallCaps w:val="0"/>
          <w:strike w:val="0"/>
          <w:sz w:val="22"/>
          <w:u w:val="single"/>
        </w:rPr>
        <w:t xml:space="preserve"> </w:t>
      </w:r>
      <w:r>
        <w:rPr>
          <w:b w:val="0"/>
          <w:i w:val="0"/>
          <w:smallCaps w:val="0"/>
          <w:strike w:val="0"/>
          <w:sz w:val="22"/>
          <w:u w:val="single"/>
        </w:rPr>
        <w:t>Bell Atlantic Corp. v.</w:t>
      </w:r>
      <w:r>
        <w:rPr>
          <w:b w:val="0"/>
          <w:i/>
          <w:smallCaps w:val="0"/>
          <w:strike w:val="0"/>
          <w:sz w:val="22"/>
          <w:u w:val="single"/>
        </w:rPr>
        <w:t xml:space="preserve"> </w:t>
      </w:r>
      <w:r>
        <w:rPr>
          <w:b/>
          <w:i w:val="0"/>
          <w:smallCaps w:val="0"/>
          <w:strike w:val="0"/>
          <w:sz w:val="24"/>
          <w:highlight w:val="cyan"/>
          <w:u w:val="single"/>
        </w:rPr>
        <w:t>Twombly</w:t>
      </w:r>
      <w:r>
        <w:rPr>
          <w:b w:val="0"/>
          <w:i w:val="0"/>
          <w:smallCaps w:val="0"/>
          <w:strike w:val="0"/>
          <w:sz w:val="16"/>
          <w:u w:val="none"/>
        </w:rPr>
        <w:t xml:space="preserve"> 298 </w:t>
      </w:r>
      <w:r>
        <w:rPr>
          <w:b w:val="0"/>
          <w:i w:val="0"/>
          <w:smallCaps w:val="0"/>
          <w:strike w:val="0"/>
          <w:sz w:val="22"/>
          <w:highlight w:val="cyan"/>
          <w:u w:val="single"/>
        </w:rPr>
        <w:t>and</w:t>
      </w:r>
      <w:r>
        <w:rPr>
          <w:b w:val="0"/>
          <w:i w:val="0"/>
          <w:smallCaps w:val="0"/>
          <w:strike w:val="0"/>
          <w:sz w:val="22"/>
          <w:u w:val="single"/>
        </w:rPr>
        <w:t xml:space="preserve"> </w:t>
      </w:r>
      <w:r>
        <w:rPr>
          <w:b w:val="0"/>
          <w:i w:val="0"/>
          <w:smallCaps w:val="0"/>
          <w:strike w:val="0"/>
          <w:sz w:val="22"/>
          <w:u w:val="single"/>
        </w:rPr>
        <w:t>Ashcroft v.</w:t>
      </w:r>
      <w:r>
        <w:rPr>
          <w:b w:val="0"/>
          <w:i/>
          <w:smallCaps w:val="0"/>
          <w:strike w:val="0"/>
          <w:sz w:val="22"/>
          <w:u w:val="single"/>
        </w:rPr>
        <w:t xml:space="preserve"> </w:t>
      </w:r>
      <w:r>
        <w:rPr>
          <w:b/>
          <w:i w:val="0"/>
          <w:smallCaps w:val="0"/>
          <w:strike w:val="0"/>
          <w:sz w:val="24"/>
          <w:highlight w:val="cyan"/>
          <w:u w:val="single"/>
        </w:rPr>
        <w:t>Iqbal</w:t>
      </w:r>
      <w:r>
        <w:rPr>
          <w:b w:val="0"/>
          <w:i w:val="0"/>
          <w:smallCaps w:val="0"/>
          <w:strike w:val="0"/>
          <w:sz w:val="16"/>
          <w:u w:val="none"/>
        </w:rPr>
        <w:t xml:space="preserve">, </w:t>
      </w:r>
      <w:r>
        <w:rPr>
          <w:b w:val="0"/>
          <w:i w:val="0"/>
          <w:smallCaps w:val="0"/>
          <w:strike w:val="0"/>
          <w:sz w:val="16"/>
          <w:u w:val="none"/>
        </w:rPr>
        <w:t>299</w:t>
      </w:r>
      <w:r>
        <w:rPr>
          <w:b w:val="0"/>
          <w:i w:val="0"/>
          <w:smallCaps w:val="0"/>
          <w:strike w:val="0"/>
          <w:sz w:val="16"/>
          <w:u w:val="none"/>
        </w:rPr>
        <w:t xml:space="preserve"> </w:t>
      </w:r>
      <w:r>
        <w:rPr>
          <w:b w:val="0"/>
          <w:i w:val="0"/>
          <w:smallCaps w:val="0"/>
          <w:strike w:val="0"/>
          <w:sz w:val="22"/>
          <w:highlight w:val="cyan"/>
          <w:u w:val="single"/>
        </w:rPr>
        <w:t>which</w:t>
      </w:r>
      <w:r>
        <w:rPr>
          <w:b w:val="0"/>
          <w:i w:val="0"/>
          <w:smallCaps w:val="0"/>
          <w:strike w:val="0"/>
          <w:sz w:val="22"/>
          <w:u w:val="single"/>
        </w:rPr>
        <w:t xml:space="preserve"> enable courts to </w:t>
      </w:r>
      <w:r>
        <w:rPr>
          <w:b/>
          <w:i w:val="0"/>
          <w:smallCaps w:val="0"/>
          <w:strike w:val="0"/>
          <w:sz w:val="24"/>
          <w:highlight w:val="cyan"/>
          <w:u w:val="single"/>
        </w:rPr>
        <w:t>dispose</w:t>
      </w:r>
      <w:r>
        <w:rPr>
          <w:b w:val="0"/>
          <w:i w:val="0"/>
          <w:smallCaps w:val="0"/>
          <w:strike w:val="0"/>
          <w:sz w:val="22"/>
          <w:u w:val="single"/>
        </w:rPr>
        <w:t xml:space="preserve"> of </w:t>
      </w:r>
      <w:r>
        <w:rPr>
          <w:b/>
          <w:i w:val="0"/>
          <w:smallCaps w:val="0"/>
          <w:strike w:val="0"/>
          <w:sz w:val="24"/>
          <w:highlight w:val="cyan"/>
          <w:u w:val="single"/>
        </w:rPr>
        <w:t>more</w:t>
      </w:r>
      <w:r>
        <w:rPr>
          <w:b/>
          <w:i w:val="0"/>
          <w:smallCaps w:val="0"/>
          <w:strike w:val="0"/>
          <w:sz w:val="24"/>
          <w:u w:val="single"/>
        </w:rPr>
        <w:t xml:space="preserve"> cases</w:t>
      </w:r>
      <w:r>
        <w:rPr>
          <w:b w:val="0"/>
          <w:i w:val="0"/>
          <w:smallCaps w:val="0"/>
          <w:strike w:val="0"/>
          <w:sz w:val="22"/>
          <w:u w:val="single"/>
        </w:rPr>
        <w:t xml:space="preserve"> at </w:t>
      </w:r>
      <w:r>
        <w:rPr>
          <w:b/>
          <w:i w:val="0"/>
          <w:smallCaps w:val="0"/>
          <w:strike w:val="0"/>
          <w:sz w:val="24"/>
          <w:highlight w:val="cyan"/>
          <w:u w:val="single"/>
        </w:rPr>
        <w:t>earlier</w:t>
      </w:r>
      <w:r>
        <w:rPr>
          <w:b/>
          <w:i w:val="0"/>
          <w:smallCaps w:val="0"/>
          <w:strike w:val="0"/>
          <w:sz w:val="24"/>
          <w:u w:val="single"/>
        </w:rPr>
        <w:t xml:space="preserve"> stages</w:t>
      </w:r>
      <w:r>
        <w:rPr>
          <w:b w:val="0"/>
          <w:i w:val="0"/>
          <w:smallCaps w:val="0"/>
          <w:strike w:val="0"/>
          <w:sz w:val="22"/>
          <w:u w:val="single"/>
        </w:rPr>
        <w:t xml:space="preserve"> of litigation.</w:t>
      </w:r>
      <w:r>
        <w:rPr>
          <w:b w:val="0"/>
          <w:i w:val="0"/>
          <w:smallCaps w:val="0"/>
          <w:strike w:val="0"/>
          <w:sz w:val="16"/>
          <w:u w:val="none"/>
        </w:rPr>
        <w:t xml:space="preserve"> 300 </w:t>
      </w:r>
      <w:r>
        <w:rPr>
          <w:b w:val="0"/>
          <w:i w:val="0"/>
          <w:smallCaps w:val="0"/>
          <w:strike w:val="0"/>
          <w:sz w:val="22"/>
          <w:u w:val="single"/>
        </w:rPr>
        <w:t>In light of these "</w:t>
      </w:r>
      <w:r>
        <w:rPr>
          <w:b/>
          <w:i w:val="0"/>
          <w:smallCaps w:val="0"/>
          <w:strike w:val="0"/>
          <w:sz w:val="24"/>
          <w:highlight w:val="cyan"/>
          <w:u w:val="single"/>
        </w:rPr>
        <w:t>legit</w:t>
      </w:r>
      <w:r>
        <w:rPr>
          <w:b/>
          <w:i w:val="0"/>
          <w:smallCaps w:val="0"/>
          <w:strike w:val="0"/>
          <w:sz w:val="24"/>
          <w:u w:val="single"/>
        </w:rPr>
        <w:t xml:space="preserve">imate </w:t>
      </w:r>
      <w:r>
        <w:rPr>
          <w:b/>
          <w:i w:val="0"/>
          <w:smallCaps w:val="0"/>
          <w:strike w:val="0"/>
          <w:sz w:val="24"/>
          <w:highlight w:val="cyan"/>
          <w:u w:val="single"/>
        </w:rPr>
        <w:t>options</w:t>
      </w:r>
      <w:r>
        <w:rPr>
          <w:b w:val="0"/>
          <w:i w:val="0"/>
          <w:smallCaps w:val="0"/>
          <w:strike w:val="0"/>
          <w:sz w:val="22"/>
          <w:highlight w:val="cyan"/>
          <w:u w:val="single"/>
        </w:rPr>
        <w:t xml:space="preserve"> for </w:t>
      </w:r>
      <w:r>
        <w:rPr>
          <w:b/>
          <w:i w:val="0"/>
          <w:smallCaps w:val="0"/>
          <w:strike w:val="0"/>
          <w:sz w:val="24"/>
          <w:highlight w:val="cyan"/>
          <w:u w:val="single"/>
        </w:rPr>
        <w:t xml:space="preserve">managing </w:t>
      </w:r>
      <w:r>
        <w:rPr>
          <w:b/>
          <w:i w:val="0"/>
          <w:smallCaps w:val="0"/>
          <w:strike w:val="0"/>
          <w:sz w:val="24"/>
          <w:highlight w:val="cyan"/>
          <w:u w:val="single"/>
        </w:rPr>
        <w:t>caseload</w:t>
      </w:r>
      <w:r>
        <w:rPr>
          <w:b w:val="0"/>
          <w:i w:val="0"/>
          <w:smallCaps w:val="0"/>
          <w:strike w:val="0"/>
          <w:sz w:val="22"/>
          <w:highlight w:val="cyan"/>
          <w:u w:val="single"/>
        </w:rPr>
        <w:t>,"</w:t>
      </w:r>
      <w:r>
        <w:rPr>
          <w:b w:val="0"/>
          <w:i w:val="0"/>
          <w:smallCaps w:val="0"/>
          <w:strike w:val="0"/>
          <w:sz w:val="16"/>
          <w:u w:val="none"/>
        </w:rPr>
        <w:t xml:space="preserve"> Levy concluded, </w:t>
      </w:r>
      <w:r>
        <w:rPr>
          <w:b w:val="0"/>
          <w:i w:val="0"/>
          <w:smallCaps w:val="0"/>
          <w:strike w:val="0"/>
          <w:sz w:val="22"/>
          <w:u w:val="single"/>
        </w:rPr>
        <w:t xml:space="preserve">"the Court [should] </w:t>
      </w:r>
      <w:r>
        <w:rPr>
          <w:b/>
          <w:i w:val="0"/>
          <w:smallCaps w:val="0"/>
          <w:strike w:val="0"/>
          <w:sz w:val="24"/>
          <w:u w:val="single"/>
        </w:rPr>
        <w:t>shy away</w:t>
      </w:r>
      <w:r>
        <w:rPr>
          <w:b w:val="0"/>
          <w:i w:val="0"/>
          <w:smallCaps w:val="0"/>
          <w:strike w:val="0"/>
          <w:sz w:val="22"/>
          <w:u w:val="single"/>
        </w:rPr>
        <w:t xml:space="preserve"> from using caseload as a reason to shift the direction of the law" to avoid an increase in volume.</w:t>
      </w:r>
      <w:r>
        <w:rPr>
          <w:b w:val="0"/>
          <w:i w:val="0"/>
          <w:smallCaps w:val="0"/>
          <w:strike w:val="0"/>
          <w:sz w:val="16"/>
          <w:u w:val="none"/>
        </w:rPr>
        <w:t xml:space="preserve"> 301</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