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Work gets </w:t>
      </w:r>
      <w:r>
        <w:rPr>
          <w:b/>
          <w:i w:val="0"/>
          <w:smallCaps w:val="0"/>
          <w:strike w:val="0"/>
          <w:sz w:val="26"/>
          <w:u w:val="single"/>
        </w:rPr>
        <w:t>delegated</w:t>
      </w:r>
      <w:r>
        <w:rPr>
          <w:b/>
          <w:i w:val="0"/>
          <w:smallCaps w:val="0"/>
          <w:strike w:val="0"/>
          <w:sz w:val="26"/>
          <w:u w:val="none"/>
        </w:rPr>
        <w:t xml:space="preserve"> OR new resources are </w:t>
      </w:r>
      <w:r>
        <w:rPr>
          <w:b/>
          <w:i w:val="0"/>
          <w:smallCaps w:val="0"/>
          <w:strike w:val="0"/>
          <w:sz w:val="26"/>
          <w:u w:val="single"/>
        </w:rPr>
        <w:t>added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Levy ’13 </w:t>
      </w:r>
      <w:r>
        <w:rPr>
          <w:b w:val="0"/>
          <w:i w:val="0"/>
          <w:smallCaps w:val="0"/>
          <w:strike w:val="0"/>
          <w:u w:val="none"/>
        </w:rPr>
        <w:t>[Marin; 2013; Associate Professor of Law at the Duke University School of Law, JD from Yale Law School; University of Chicago Law Review, “Judging the Flood of Litigation,” vol. 80]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be sure,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judicial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workload is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critical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noted earlier, the lower courts have faced rising caseloads over the last several decades 285 - a fact the justices have emphasized. 286 Today, both federal district and appellate </w:t>
      </w:r>
      <w:r>
        <w:rPr>
          <w:b w:val="0"/>
          <w:i w:val="0"/>
          <w:smallCaps w:val="0"/>
          <w:strike w:val="0"/>
          <w:sz w:val="22"/>
          <w:u w:val="single"/>
        </w:rPr>
        <w:t>judges must contend with hundreds of filings per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287 meaning that their ability to give attention to individual cases is greatly reduced.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Employing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hand,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district 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come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heavily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aid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magistrate judges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288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appellate 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come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rely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assistance of </w:t>
      </w:r>
      <w:r>
        <w:rPr>
          <w:b/>
          <w:i w:val="0"/>
          <w:smallCaps w:val="0"/>
          <w:strike w:val="0"/>
          <w:sz w:val="24"/>
          <w:u w:val="single"/>
        </w:rPr>
        <w:t xml:space="preserve">staff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attorneys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case-management tools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their workload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289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Still,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scholars alike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expansion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bench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290 </w:t>
      </w:r>
      <w:r>
        <w:rPr>
          <w:b w:val="0"/>
          <w:i w:val="0"/>
          <w:smallCaps w:val="0"/>
          <w:strike w:val="0"/>
          <w:sz w:val="22"/>
          <w:u w:val="single"/>
        </w:rPr>
        <w:t>and limiting the flow of 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291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alleviate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federal courts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Thus, when the justices express their desire to avoid inviting new claims into federal courts, the underlying concern is not a trivial one. 292 The critical question, though, </w:t>
      </w:r>
      <w:r>
        <w:rPr>
          <w:b w:val="0"/>
          <w:i w:val="0"/>
          <w:smallCaps w:val="0"/>
          <w:strike w:val="0"/>
          <w:sz w:val="16"/>
          <w:u w:val="none"/>
        </w:rPr>
        <w:t>is  [</w:t>
      </w:r>
      <w:r>
        <w:rPr>
          <w:b w:val="0"/>
          <w:i w:val="0"/>
          <w:smallCaps w:val="0"/>
          <w:strike w:val="0"/>
          <w:sz w:val="16"/>
          <w:u w:val="none"/>
        </w:rPr>
        <w:t>*1066]  whether considerations of judicial workload can stand as an independent factor in shaping the Court's interpretation of substantive law.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