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Congress will </w:t>
      </w:r>
      <w:r>
        <w:rPr>
          <w:b/>
          <w:i w:val="0"/>
          <w:smallCaps w:val="0"/>
          <w:strike w:val="0"/>
          <w:sz w:val="26"/>
          <w:u w:val="single"/>
        </w:rPr>
        <w:t>adjust</w:t>
      </w:r>
      <w:r>
        <w:rPr>
          <w:b/>
          <w:i w:val="0"/>
          <w:smallCaps w:val="0"/>
          <w:strike w:val="0"/>
          <w:sz w:val="26"/>
          <w:u w:val="none"/>
        </w:rPr>
        <w:t xml:space="preserve"> before </w:t>
      </w:r>
      <w:r>
        <w:rPr>
          <w:b/>
          <w:i w:val="0"/>
          <w:smallCaps w:val="0"/>
          <w:strike w:val="0"/>
          <w:sz w:val="26"/>
          <w:u w:val="single"/>
        </w:rPr>
        <w:t>any</w:t>
      </w:r>
      <w:r>
        <w:rPr>
          <w:b/>
          <w:i w:val="0"/>
          <w:smallCaps w:val="0"/>
          <w:strike w:val="0"/>
          <w:sz w:val="26"/>
          <w:u w:val="none"/>
        </w:rPr>
        <w:t xml:space="preserve"> impact.</w:t>
      </w:r>
    </w:p>
    <w:p>
      <w:pPr>
        <w:spacing w:after="80"/>
      </w:pPr>
      <w:r>
        <w:rPr>
          <w:b/>
          <w:i w:val="0"/>
          <w:smallCaps w:val="0"/>
          <w:strike w:val="0"/>
          <w:sz w:val="26"/>
          <w:u w:val="none"/>
        </w:rPr>
        <w:t xml:space="preserve">Levy ’13 </w:t>
      </w:r>
      <w:r>
        <w:rPr>
          <w:b w:val="0"/>
          <w:i w:val="0"/>
          <w:smallCaps w:val="0"/>
          <w:strike w:val="0"/>
          <w:u w:val="none"/>
        </w:rPr>
        <w:t>[Marin; 2013; Associate Professor of Law at the Duke University School of Law, JD from Yale Law School; University of Chicago Law Review, “Judging the Flood of Litigation,” vol. 80]</w:t>
      </w:r>
    </w:p>
    <w:p>
      <w:pPr>
        <w:spacing w:after="60"/>
      </w:pPr>
      <w:r>
        <w:rPr>
          <w:b w:val="0"/>
          <w:i w:val="0"/>
          <w:smallCaps w:val="0"/>
          <w:strike w:val="0"/>
          <w:sz w:val="16"/>
          <w:u w:val="none"/>
        </w:rPr>
        <w:t xml:space="preserve">Now, it is important to recognize that counseling Courts against considering caseload volume in this kind of decision making does not mean that there is no recourse when it comes to docket concerns. </w:t>
      </w:r>
      <w:r>
        <w:rPr>
          <w:b w:val="0"/>
          <w:i w:val="0"/>
          <w:smallCaps w:val="0"/>
          <w:strike w:val="0"/>
          <w:sz w:val="22"/>
          <w:u w:val="single"/>
        </w:rPr>
        <w:t xml:space="preserve">Our </w:t>
      </w:r>
      <w:r>
        <w:rPr>
          <w:b w:val="0"/>
          <w:i w:val="0"/>
          <w:smallCaps w:val="0"/>
          <w:strike w:val="0"/>
          <w:sz w:val="22"/>
          <w:highlight w:val="cyan"/>
          <w:u w:val="single"/>
        </w:rPr>
        <w:t>system provides</w:t>
      </w:r>
      <w:r>
        <w:rPr>
          <w:b w:val="0"/>
          <w:i w:val="0"/>
          <w:smallCaps w:val="0"/>
          <w:strike w:val="0"/>
          <w:sz w:val="22"/>
          <w:u w:val="single"/>
        </w:rPr>
        <w:t xml:space="preserve"> several </w:t>
      </w:r>
      <w:r>
        <w:rPr>
          <w:b w:val="0"/>
          <w:i w:val="0"/>
          <w:smallCaps w:val="0"/>
          <w:strike w:val="0"/>
          <w:sz w:val="22"/>
          <w:highlight w:val="cyan"/>
          <w:u w:val="single"/>
        </w:rPr>
        <w:t>ways to relieve</w:t>
      </w:r>
      <w:r>
        <w:rPr>
          <w:b w:val="0"/>
          <w:i w:val="0"/>
          <w:smallCaps w:val="0"/>
          <w:strike w:val="0"/>
          <w:sz w:val="22"/>
          <w:u w:val="single"/>
        </w:rPr>
        <w:t xml:space="preserve"> caseload </w:t>
      </w:r>
      <w:r>
        <w:rPr>
          <w:b w:val="0"/>
          <w:i w:val="0"/>
          <w:smallCaps w:val="0"/>
          <w:strike w:val="0"/>
          <w:sz w:val="22"/>
          <w:highlight w:val="cyan"/>
          <w:u w:val="single"/>
        </w:rPr>
        <w:t>pressure</w:t>
      </w:r>
      <w:r>
        <w:rPr>
          <w:b w:val="0"/>
          <w:i w:val="0"/>
          <w:smallCaps w:val="0"/>
          <w:strike w:val="0"/>
          <w:sz w:val="22"/>
          <w:u w:val="single"/>
        </w:rPr>
        <w:t xml:space="preserve"> short of the courts</w:t>
      </w:r>
      <w:r>
        <w:rPr>
          <w:b w:val="0"/>
          <w:i w:val="0"/>
          <w:smallCaps w:val="0"/>
          <w:strike w:val="0"/>
          <w:sz w:val="16"/>
          <w:u w:val="none"/>
        </w:rPr>
        <w:t xml:space="preserve"> not recognizing causes of action or </w:t>
      </w:r>
      <w:r>
        <w:rPr>
          <w:b w:val="0"/>
          <w:i w:val="0"/>
          <w:smallCaps w:val="0"/>
          <w:strike w:val="0"/>
          <w:sz w:val="22"/>
          <w:u w:val="single"/>
        </w:rPr>
        <w:t xml:space="preserve">deciding not to hear </w:t>
      </w:r>
      <w:r>
        <w:rPr>
          <w:b w:val="0"/>
          <w:i w:val="0"/>
          <w:smallCaps w:val="0"/>
          <w:strike w:val="0"/>
          <w:sz w:val="22"/>
          <w:u w:val="single"/>
        </w:rPr>
        <w:t>particular sets</w:t>
      </w:r>
      <w:r>
        <w:rPr>
          <w:b w:val="0"/>
          <w:i w:val="0"/>
          <w:smallCaps w:val="0"/>
          <w:strike w:val="0"/>
          <w:sz w:val="22"/>
          <w:u w:val="single"/>
        </w:rPr>
        <w:t xml:space="preserve"> of cases</w:t>
      </w:r>
      <w:r>
        <w:rPr>
          <w:b w:val="0"/>
          <w:i w:val="0"/>
          <w:smallCaps w:val="0"/>
          <w:strike w:val="0"/>
          <w:sz w:val="16"/>
          <w:u w:val="none"/>
        </w:rPr>
        <w:t xml:space="preserve">. </w:t>
      </w:r>
      <w:r>
        <w:rPr>
          <w:b w:val="0"/>
          <w:i w:val="0"/>
          <w:smallCaps w:val="0"/>
          <w:strike w:val="0"/>
          <w:sz w:val="22"/>
          <w:u w:val="single"/>
        </w:rPr>
        <w:t xml:space="preserve">Specifically, our </w:t>
      </w:r>
      <w:r>
        <w:rPr>
          <w:b/>
          <w:i w:val="0"/>
          <w:smallCaps w:val="0"/>
          <w:strike w:val="0"/>
          <w:sz w:val="24"/>
          <w:highlight w:val="cyan"/>
          <w:u w:val="single"/>
        </w:rPr>
        <w:t>constitution</w:t>
      </w:r>
      <w:r>
        <w:rPr>
          <w:b w:val="0"/>
          <w:i w:val="0"/>
          <w:smallCaps w:val="0"/>
          <w:strike w:val="0"/>
          <w:sz w:val="22"/>
          <w:u w:val="single"/>
        </w:rPr>
        <w:t xml:space="preserve">al system </w:t>
      </w:r>
      <w:r>
        <w:rPr>
          <w:b w:val="0"/>
          <w:i w:val="0"/>
          <w:smallCaps w:val="0"/>
          <w:strike w:val="0"/>
          <w:sz w:val="22"/>
          <w:highlight w:val="cyan"/>
          <w:u w:val="single"/>
        </w:rPr>
        <w:t>gives Congress</w:t>
      </w:r>
      <w:r>
        <w:rPr>
          <w:b w:val="0"/>
          <w:i w:val="0"/>
          <w:smallCaps w:val="0"/>
          <w:strike w:val="0"/>
          <w:sz w:val="22"/>
          <w:u w:val="single"/>
        </w:rPr>
        <w:t xml:space="preserve"> the </w:t>
      </w:r>
      <w:r>
        <w:rPr>
          <w:b w:val="0"/>
          <w:i w:val="0"/>
          <w:smallCaps w:val="0"/>
          <w:strike w:val="0"/>
          <w:sz w:val="22"/>
          <w:highlight w:val="cyan"/>
          <w:u w:val="single"/>
        </w:rPr>
        <w:t xml:space="preserve">authority to </w:t>
      </w:r>
      <w:r>
        <w:rPr>
          <w:b/>
          <w:i w:val="0"/>
          <w:smallCaps w:val="0"/>
          <w:strike w:val="0"/>
          <w:sz w:val="24"/>
          <w:highlight w:val="cyan"/>
          <w:u w:val="single"/>
        </w:rPr>
        <w:t>adjust laws</w:t>
      </w:r>
      <w:r>
        <w:rPr>
          <w:b w:val="0"/>
          <w:i w:val="0"/>
          <w:smallCaps w:val="0"/>
          <w:strike w:val="0"/>
          <w:sz w:val="22"/>
          <w:u w:val="single"/>
        </w:rPr>
        <w:t xml:space="preserve"> </w:t>
      </w:r>
      <w:r>
        <w:rPr>
          <w:b w:val="0"/>
          <w:i w:val="0"/>
          <w:smallCaps w:val="0"/>
          <w:strike w:val="0"/>
          <w:sz w:val="22"/>
          <w:u w:val="single"/>
        </w:rPr>
        <w:t xml:space="preserve">so as </w:t>
      </w:r>
      <w:r>
        <w:rPr>
          <w:b w:val="0"/>
          <w:i w:val="0"/>
          <w:smallCaps w:val="0"/>
          <w:strike w:val="0"/>
          <w:sz w:val="22"/>
          <w:highlight w:val="cyan"/>
          <w:u w:val="single"/>
        </w:rPr>
        <w:t>to</w:t>
      </w:r>
      <w:r>
        <w:rPr>
          <w:b w:val="0"/>
          <w:i w:val="0"/>
          <w:smallCaps w:val="0"/>
          <w:strike w:val="0"/>
          <w:sz w:val="22"/>
          <w:highlight w:val="cyan"/>
          <w:u w:val="single"/>
        </w:rPr>
        <w:t xml:space="preserve"> </w:t>
      </w:r>
      <w:r>
        <w:rPr>
          <w:b/>
          <w:i w:val="0"/>
          <w:smallCaps w:val="0"/>
          <w:strike w:val="0"/>
          <w:sz w:val="24"/>
          <w:highlight w:val="cyan"/>
          <w:u w:val="single"/>
        </w:rPr>
        <w:t>stem</w:t>
      </w:r>
      <w:r>
        <w:rPr>
          <w:b/>
          <w:i w:val="0"/>
          <w:smallCaps w:val="0"/>
          <w:strike w:val="0"/>
          <w:sz w:val="24"/>
          <w:u w:val="single"/>
        </w:rPr>
        <w:t xml:space="preserve"> that </w:t>
      </w:r>
      <w:r>
        <w:rPr>
          <w:b/>
          <w:i w:val="0"/>
          <w:smallCaps w:val="0"/>
          <w:strike w:val="0"/>
          <w:sz w:val="24"/>
          <w:highlight w:val="cyan"/>
          <w:u w:val="single"/>
        </w:rPr>
        <w:t>flow</w:t>
      </w:r>
      <w:r>
        <w:rPr>
          <w:b w:val="0"/>
          <w:i w:val="0"/>
          <w:smallCaps w:val="0"/>
          <w:strike w:val="0"/>
          <w:sz w:val="16"/>
          <w:u w:val="none"/>
        </w:rPr>
        <w:t xml:space="preserve">. 305 </w:t>
      </w:r>
      <w:r>
        <w:rPr>
          <w:b w:val="0"/>
          <w:i w:val="0"/>
          <w:smallCaps w:val="0"/>
          <w:strike w:val="0"/>
          <w:sz w:val="22"/>
          <w:highlight w:val="cyan"/>
          <w:u w:val="single"/>
        </w:rPr>
        <w:t>And Congress has</w:t>
      </w:r>
      <w:r>
        <w:rPr>
          <w:b w:val="0"/>
          <w:i w:val="0"/>
          <w:smallCaps w:val="0"/>
          <w:strike w:val="0"/>
          <w:sz w:val="22"/>
          <w:u w:val="single"/>
        </w:rPr>
        <w:t xml:space="preserve"> indeed </w:t>
      </w:r>
      <w:r>
        <w:rPr>
          <w:b/>
          <w:i w:val="0"/>
          <w:smallCaps w:val="0"/>
          <w:strike w:val="0"/>
          <w:sz w:val="24"/>
          <w:highlight w:val="cyan"/>
          <w:u w:val="single"/>
        </w:rPr>
        <w:t>exercised that</w:t>
      </w:r>
      <w:r>
        <w:rPr>
          <w:b/>
          <w:i w:val="0"/>
          <w:smallCaps w:val="0"/>
          <w:strike w:val="0"/>
          <w:sz w:val="24"/>
          <w:u w:val="single"/>
        </w:rPr>
        <w:t xml:space="preserve"> power</w:t>
      </w:r>
      <w:r>
        <w:rPr>
          <w:b w:val="0"/>
          <w:i w:val="0"/>
          <w:smallCaps w:val="0"/>
          <w:strike w:val="0"/>
          <w:sz w:val="16"/>
          <w:u w:val="none"/>
        </w:rPr>
        <w:t xml:space="preserve">. As noted earlier, </w:t>
      </w:r>
      <w:r>
        <w:rPr>
          <w:b w:val="0"/>
          <w:i w:val="0"/>
          <w:smallCaps w:val="0"/>
          <w:strike w:val="0"/>
          <w:sz w:val="22"/>
          <w:u w:val="single"/>
        </w:rPr>
        <w:t>Congress passed the Supreme Court Case Selections Act</w:t>
      </w:r>
      <w:r>
        <w:rPr>
          <w:b w:val="0"/>
          <w:i w:val="0"/>
          <w:smallCaps w:val="0"/>
          <w:strike w:val="0"/>
          <w:sz w:val="16"/>
          <w:u w:val="none"/>
        </w:rPr>
        <w:t xml:space="preserve"> 306 </w:t>
      </w:r>
      <w:r>
        <w:rPr>
          <w:b w:val="0"/>
          <w:i w:val="0"/>
          <w:smallCaps w:val="0"/>
          <w:strike w:val="0"/>
          <w:sz w:val="22"/>
          <w:u w:val="single"/>
        </w:rPr>
        <w:t xml:space="preserve">to alleviate the Court's then "unmanageable workload" by </w:t>
      </w:r>
      <w:r>
        <w:rPr>
          <w:b/>
          <w:i w:val="0"/>
          <w:smallCaps w:val="0"/>
          <w:strike w:val="0"/>
          <w:sz w:val="24"/>
          <w:highlight w:val="cyan"/>
          <w:u w:val="single"/>
        </w:rPr>
        <w:t>eliminating</w:t>
      </w:r>
      <w:r>
        <w:rPr>
          <w:b w:val="0"/>
          <w:i w:val="0"/>
          <w:smallCaps w:val="0"/>
          <w:strike w:val="0"/>
          <w:sz w:val="22"/>
          <w:u w:val="single"/>
        </w:rPr>
        <w:t xml:space="preserve"> most of the Court's </w:t>
      </w:r>
      <w:r>
        <w:rPr>
          <w:b/>
          <w:i w:val="0"/>
          <w:smallCaps w:val="0"/>
          <w:strike w:val="0"/>
          <w:sz w:val="24"/>
          <w:highlight w:val="cyan"/>
          <w:u w:val="single"/>
        </w:rPr>
        <w:t>mandatory jurisdiction</w:t>
      </w:r>
      <w:r>
        <w:rPr>
          <w:b w:val="0"/>
          <w:i w:val="0"/>
          <w:smallCaps w:val="0"/>
          <w:strike w:val="0"/>
          <w:sz w:val="16"/>
          <w:u w:val="none"/>
        </w:rPr>
        <w:t xml:space="preserve">. 307 With respect to the rest of the federal court docket, </w:t>
      </w:r>
      <w:r>
        <w:rPr>
          <w:b w:val="0"/>
          <w:i w:val="0"/>
          <w:smallCaps w:val="0"/>
          <w:strike w:val="0"/>
          <w:sz w:val="22"/>
          <w:u w:val="single"/>
        </w:rPr>
        <w:t xml:space="preserve">Congress has repeatedly enacted </w:t>
      </w:r>
      <w:r>
        <w:rPr>
          <w:b/>
          <w:i w:val="0"/>
          <w:smallCaps w:val="0"/>
          <w:strike w:val="0"/>
          <w:sz w:val="24"/>
          <w:highlight w:val="cyan"/>
          <w:u w:val="single"/>
        </w:rPr>
        <w:t>target</w:t>
      </w:r>
      <w:r>
        <w:rPr>
          <w:b w:val="0"/>
          <w:i w:val="0"/>
          <w:smallCaps w:val="0"/>
          <w:strike w:val="0"/>
          <w:sz w:val="22"/>
          <w:u w:val="single"/>
        </w:rPr>
        <w:t xml:space="preserve">ed legislation to reduce </w:t>
      </w:r>
      <w:r>
        <w:rPr>
          <w:b w:val="0"/>
          <w:i w:val="0"/>
          <w:smallCaps w:val="0"/>
          <w:strike w:val="0"/>
          <w:sz w:val="22"/>
          <w:highlight w:val="cyan"/>
          <w:u w:val="single"/>
        </w:rPr>
        <w:t>frivolous filings</w:t>
      </w:r>
      <w:r>
        <w:rPr>
          <w:b w:val="0"/>
          <w:i w:val="0"/>
          <w:smallCaps w:val="0"/>
          <w:strike w:val="0"/>
          <w:sz w:val="16"/>
          <w:u w:val="none"/>
        </w:rPr>
        <w:t xml:space="preserve">. For example, Congress passed the PLRA precisely as a way of "addressing a flood of prisoner litigation in the federal courts." 308 Similarly, part of the purpose of the Private Securities Litigation Reform Act of 1995 309 was to limit frivolous securities claims. 310 This is not to suggest that </w:t>
      </w:r>
      <w:r>
        <w:rPr>
          <w:b/>
          <w:i w:val="0"/>
          <w:smallCaps w:val="0"/>
          <w:strike w:val="0"/>
          <w:sz w:val="24"/>
          <w:highlight w:val="cyan"/>
          <w:u w:val="single"/>
        </w:rPr>
        <w:t>Congress could</w:t>
      </w:r>
      <w:r>
        <w:rPr>
          <w:b w:val="0"/>
          <w:i w:val="0"/>
          <w:smallCaps w:val="0"/>
          <w:strike w:val="0"/>
          <w:sz w:val="16"/>
          <w:u w:val="none"/>
        </w:rPr>
        <w:t xml:space="preserve"> not </w:t>
      </w:r>
      <w:r>
        <w:rPr>
          <w:b/>
          <w:i w:val="0"/>
          <w:smallCaps w:val="0"/>
          <w:strike w:val="0"/>
          <w:sz w:val="24"/>
          <w:highlight w:val="cyan"/>
          <w:u w:val="single"/>
        </w:rPr>
        <w:t>do more</w:t>
      </w:r>
      <w:r>
        <w:rPr>
          <w:b w:val="0"/>
          <w:i w:val="0"/>
          <w:smallCaps w:val="0"/>
          <w:strike w:val="0"/>
          <w:sz w:val="16"/>
          <w:u w:val="none"/>
        </w:rPr>
        <w:t xml:space="preserve"> in this vein; rather the point is simply that there is still a branch of government that has the clear authority to take the courts' caseload into account in substantive decision making and has done so repeatedly in the past.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