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PBRs and IPR are </w:t>
      </w:r>
      <w:r>
        <w:rPr>
          <w:b/>
          <w:i w:val="0"/>
          <w:smallCaps w:val="0"/>
          <w:strike w:val="0"/>
          <w:sz w:val="24"/>
          <w:u w:val="single"/>
        </w:rPr>
        <w:t>synonymous</w:t>
      </w:r>
      <w:r>
        <w:rPr>
          <w:b/>
          <w:i w:val="0"/>
          <w:smallCaps w:val="0"/>
          <w:strike w:val="0"/>
          <w:sz w:val="24"/>
          <w:u w:val="none"/>
        </w:rPr>
        <w:t>.</w:t>
      </w:r>
    </w:p>
    <w:p>
      <w:pPr>
        <w:spacing w:after="80"/>
      </w:pPr>
      <w:r>
        <w:rPr>
          <w:b w:val="0"/>
          <w:i w:val="0"/>
          <w:smallCaps w:val="0"/>
          <w:strike w:val="0"/>
          <w:sz w:val="16"/>
          <w:u w:val="none"/>
        </w:rPr>
        <w:t xml:space="preserve">Anthony </w:t>
      </w:r>
      <w:r>
        <w:rPr>
          <w:b/>
          <w:i w:val="0"/>
          <w:smallCaps w:val="0"/>
          <w:strike w:val="0"/>
          <w:sz w:val="24"/>
          <w:u w:val="none"/>
        </w:rPr>
        <w:t>Parker 23</w:t>
      </w:r>
      <w:r>
        <w:rPr>
          <w:b w:val="0"/>
          <w:i w:val="0"/>
          <w:smallCaps w:val="0"/>
          <w:strike w:val="0"/>
          <w:sz w:val="16"/>
          <w:u w:val="none"/>
        </w:rPr>
        <w:t xml:space="preserve">, Master of Science degree (M.Sc.), specializing in plant breeding and genetics as well as a Master of Laws (LLM), specializing in intellectual property law, 2/24/23, </w:t>
      </w:r>
      <w:r>
        <w:rPr>
          <w:b w:val="0"/>
          <w:i/>
          <w:smallCaps w:val="0"/>
          <w:strike w:val="0"/>
          <w:sz w:val="16"/>
          <w:u w:val="none"/>
        </w:rPr>
        <w:t>McGill</w:t>
      </w:r>
      <w:r>
        <w:rPr>
          <w:b w:val="0"/>
          <w:i w:val="0"/>
          <w:smallCaps w:val="0"/>
          <w:strike w:val="0"/>
          <w:sz w:val="16"/>
          <w:u w:val="none"/>
        </w:rPr>
        <w:t>, “An Overview of Plant Breeders' Rights (PBR) Intellectual Property Protection”, kcab</w:t>
      </w:r>
    </w:p>
    <w:p>
      <w:pPr>
        <w:spacing w:after="60"/>
      </w:pPr>
      <w:r>
        <w:rPr>
          <w:b w:val="0"/>
          <w:i w:val="0"/>
          <w:smallCaps w:val="0"/>
          <w:strike w:val="0"/>
          <w:sz w:val="16"/>
          <w:u w:val="none"/>
        </w:rPr>
        <w:t>Plant Breeders’ Rights (</w:t>
      </w:r>
      <w:r>
        <w:rPr>
          <w:b/>
          <w:i w:val="0"/>
          <w:smallCaps w:val="0"/>
          <w:strike w:val="0"/>
          <w:sz w:val="20"/>
          <w:highlight w:val="cyan"/>
          <w:u w:val="single"/>
        </w:rPr>
        <w:t>PBR</w:t>
      </w:r>
      <w:r>
        <w:rPr>
          <w:b w:val="0"/>
          <w:i w:val="0"/>
          <w:smallCaps w:val="0"/>
          <w:strike w:val="0"/>
          <w:sz w:val="16"/>
          <w:u w:val="none"/>
        </w:rPr>
        <w:t xml:space="preserve">) </w:t>
      </w:r>
      <w:r>
        <w:rPr>
          <w:b w:val="0"/>
          <w:i w:val="0"/>
          <w:smallCaps w:val="0"/>
          <w:strike w:val="0"/>
          <w:sz w:val="20"/>
          <w:highlight w:val="cyan"/>
          <w:u w:val="single"/>
        </w:rPr>
        <w:t>are a form of</w:t>
      </w:r>
      <w:r>
        <w:rPr>
          <w:b w:val="0"/>
          <w:i w:val="0"/>
          <w:smallCaps w:val="0"/>
          <w:strike w:val="0"/>
          <w:sz w:val="20"/>
          <w:u w:val="single"/>
        </w:rPr>
        <w:t xml:space="preserve"> </w:t>
      </w:r>
      <w:r>
        <w:rPr>
          <w:b w:val="0"/>
          <w:i w:val="0"/>
          <w:smallCaps w:val="0"/>
          <w:strike w:val="0"/>
          <w:sz w:val="16"/>
          <w:u w:val="none"/>
        </w:rPr>
        <w:t>intellectual property rights (</w:t>
      </w:r>
      <w:r>
        <w:rPr>
          <w:b/>
          <w:i w:val="0"/>
          <w:smallCaps w:val="0"/>
          <w:strike w:val="0"/>
          <w:sz w:val="20"/>
          <w:highlight w:val="cyan"/>
          <w:u w:val="single"/>
        </w:rPr>
        <w:t>IPR</w:t>
      </w:r>
      <w:r>
        <w:rPr>
          <w:b w:val="0"/>
          <w:i w:val="0"/>
          <w:smallCaps w:val="0"/>
          <w:strike w:val="0"/>
          <w:sz w:val="16"/>
          <w:u w:val="none"/>
        </w:rPr>
        <w:t xml:space="preserve">) </w:t>
      </w:r>
      <w:r>
        <w:rPr>
          <w:b w:val="0"/>
          <w:i w:val="0"/>
          <w:smallCaps w:val="0"/>
          <w:strike w:val="0"/>
          <w:sz w:val="20"/>
          <w:u w:val="single"/>
        </w:rPr>
        <w:t>which allow plant breeders to protect their new plant varieties</w:t>
      </w:r>
      <w:r>
        <w:rPr>
          <w:b w:val="0"/>
          <w:i w:val="0"/>
          <w:smallCaps w:val="0"/>
          <w:strike w:val="0"/>
          <w:sz w:val="16"/>
          <w:u w:val="none"/>
        </w:rPr>
        <w:t xml:space="preserve">. Conceptually similar to other forms of IPR’s the overall policy of objective of PBR is to stimulate investment and innovation, and to encourage the dissemination of those innovations to the public, thereby benefitting society. To be eligible to obtain Plant Breeders’ rights in Canada, a variety must be new, distinct, uniform and stable (NDUS). Once granted, </w:t>
      </w:r>
      <w:r>
        <w:rPr>
          <w:b w:val="0"/>
          <w:i w:val="0"/>
          <w:smallCaps w:val="0"/>
          <w:strike w:val="0"/>
          <w:sz w:val="20"/>
          <w:u w:val="single"/>
        </w:rPr>
        <w:t>the breeder receives exclusive rights</w:t>
      </w:r>
      <w:r>
        <w:rPr>
          <w:b w:val="0"/>
          <w:i w:val="0"/>
          <w:smallCaps w:val="0"/>
          <w:strike w:val="0"/>
          <w:sz w:val="16"/>
          <w:u w:val="none"/>
        </w:rPr>
        <w:t xml:space="preserve"> (a monopoly) </w:t>
      </w:r>
      <w:r>
        <w:rPr>
          <w:b w:val="0"/>
          <w:i w:val="0"/>
          <w:smallCaps w:val="0"/>
          <w:strike w:val="0"/>
          <w:sz w:val="20"/>
          <w:u w:val="single"/>
        </w:rPr>
        <w:t>over the propagating material of their variety for a period of 25 years for tree or vine varieties</w:t>
      </w:r>
      <w:r>
        <w:rPr>
          <w:b w:val="0"/>
          <w:i w:val="0"/>
          <w:smallCaps w:val="0"/>
          <w:strike w:val="0"/>
          <w:sz w:val="16"/>
          <w:u w:val="none"/>
        </w:rPr>
        <w:t xml:space="preserve">, and 20 years for all other varieties. </w:t>
      </w:r>
      <w:r>
        <w:rPr>
          <w:b w:val="0"/>
          <w:i w:val="0"/>
          <w:smallCaps w:val="0"/>
          <w:strike w:val="0"/>
          <w:sz w:val="20"/>
          <w:highlight w:val="cyan"/>
          <w:u w:val="single"/>
        </w:rPr>
        <w:t>These exclusive rights include</w:t>
      </w:r>
      <w:r>
        <w:rPr>
          <w:b w:val="0"/>
          <w:i w:val="0"/>
          <w:smallCaps w:val="0"/>
          <w:strike w:val="0"/>
          <w:sz w:val="20"/>
          <w:u w:val="single"/>
        </w:rPr>
        <w:t xml:space="preserve"> </w:t>
      </w:r>
      <w:r>
        <w:rPr>
          <w:b w:val="0"/>
          <w:i w:val="0"/>
          <w:smallCaps w:val="0"/>
          <w:strike w:val="0"/>
          <w:sz w:val="20"/>
          <w:highlight w:val="cyan"/>
          <w:u w:val="single"/>
        </w:rPr>
        <w:t>the right to sell</w:t>
      </w:r>
      <w:r>
        <w:rPr>
          <w:b w:val="0"/>
          <w:i w:val="0"/>
          <w:smallCaps w:val="0"/>
          <w:strike w:val="0"/>
          <w:sz w:val="16"/>
          <w:u w:val="none"/>
        </w:rPr>
        <w:t xml:space="preserve">, </w:t>
      </w:r>
      <w:r>
        <w:rPr>
          <w:b w:val="0"/>
          <w:i w:val="0"/>
          <w:smallCaps w:val="0"/>
          <w:strike w:val="0"/>
          <w:sz w:val="20"/>
          <w:highlight w:val="cyan"/>
          <w:u w:val="single"/>
        </w:rPr>
        <w:t>produce</w:t>
      </w:r>
      <w:r>
        <w:rPr>
          <w:b w:val="0"/>
          <w:i w:val="0"/>
          <w:smallCaps w:val="0"/>
          <w:strike w:val="0"/>
          <w:sz w:val="16"/>
          <w:u w:val="none"/>
        </w:rPr>
        <w:t xml:space="preserve"> </w:t>
      </w:r>
      <w:r>
        <w:rPr>
          <w:b w:val="0"/>
          <w:i w:val="0"/>
          <w:smallCaps w:val="0"/>
          <w:strike w:val="0"/>
          <w:sz w:val="20"/>
          <w:highlight w:val="cyan"/>
          <w:u w:val="single"/>
        </w:rPr>
        <w:t>and reproduce</w:t>
      </w:r>
      <w:r>
        <w:rPr>
          <w:b w:val="0"/>
          <w:i w:val="0"/>
          <w:smallCaps w:val="0"/>
          <w:strike w:val="0"/>
          <w:sz w:val="16"/>
          <w:u w:val="none"/>
        </w:rPr>
        <w:t xml:space="preserve">, </w:t>
      </w:r>
      <w:r>
        <w:rPr>
          <w:b w:val="0"/>
          <w:i w:val="0"/>
          <w:smallCaps w:val="0"/>
          <w:strike w:val="0"/>
          <w:sz w:val="20"/>
          <w:u w:val="single"/>
        </w:rPr>
        <w:t>import and export propagating material of the variety as well as the right to authorize others to do the same</w:t>
      </w:r>
      <w:r>
        <w:rPr>
          <w:b w:val="0"/>
          <w:i w:val="0"/>
          <w:smallCaps w:val="0"/>
          <w:strike w:val="0"/>
          <w:sz w:val="16"/>
          <w:u w:val="none"/>
        </w:rPr>
        <w:t>. Once the period of protection ends, the variety is considered “public domain”, and available without restrictions.</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