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CEO confidence is on the rise – index data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McWeeney 4/16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(Katie McWeeney, </w:t>
      </w:r>
      <w:r>
        <w:rPr>
          <w:b w:val="0"/>
          <w:i w:val="0"/>
          <w:smallCaps w:val="0"/>
          <w:strike w:val="0"/>
          <w:u w:val="none"/>
        </w:rPr>
        <w:t>Multimedia content marketing leader with more than 15 years of experience creating content for CEOs and business leaders, that helps decision making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“Small and Midsize Business Confidence Climbs for Fourth Consecutive Quarter, Fueling Anticipation for 2025 Growth Cycle,” </w:t>
      </w:r>
      <w:r>
        <w:rPr>
          <w:b w:val="0"/>
          <w:i w:val="0"/>
          <w:smallCaps w:val="0"/>
          <w:strike w:val="0"/>
          <w:color w:val="000000"/>
          <w:u w:val="none"/>
        </w:rPr>
        <w:t>Vistage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April 16, 2024, </w:t>
      </w:r>
      <w:r>
        <w:rPr>
          <w:b w:val="0"/>
          <w:i w:val="0"/>
          <w:smallCaps w:val="0"/>
          <w:strike w:val="0"/>
          <w:u w:val="none"/>
        </w:rPr>
        <w:t>https://www.vistage.com/press-center/press-release/small-and-midsize-business-confidence-climbs-for-fourth-consecutive-quarter-fueling-anticipation-for-2025-growth-cycle/#:~:text=In%20Q1%202024%2C%20the%20Vistage,%2FVistage%20Worldwide%2C%20Inc.)</w:t>
      </w:r>
      <w:r>
        <w:rPr>
          <w:b w:val="0"/>
          <w:i w:val="0"/>
          <w:smallCaps w:val="0"/>
          <w:strike w:val="0"/>
          <w:color w:val="000000"/>
          <w:u w:val="none"/>
        </w:rPr>
        <w:t>, Accessed: 6/27/24) SJR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Small and midsize business (SMB) CEOs' confidence in the economy continued its upward trajectory in Q1 2024, per the latest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CEO Confidence Index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fromVistage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a CEO coaching and peer advisory organization.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This quarter marks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four consecutive quarters of increased confidence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, signaling sustained growth in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economic optimism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Q1 2024, the Vistage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CEO Confidence Index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surged nearly four points to 85.9, maintaining its steady climb from 82 in Q4 2023, 76 in Q3 2023, 74.2 in Q2 2023, and 72.6 in Q1 2023.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"Much like athletes undergoing rigorous rehabilitation after sustaining serious injuries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our economy is steadily recovering from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unprecedented challenges imposed by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the pandemic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," said Joe Galvin, Vistage's chief research officer.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"We've observed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notable improvement in economic sentiment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which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has been a key driver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behind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surging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Vistage 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CEO Confidence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Index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While expectations for revenue and profits have remained stable compared to the previous quarter, we've noticed a slight increase in investment for expansion initiatives, tempered by a decline in intentions to hire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We are cautiously optimistic we are slowly inching towards a 2025 growth cycle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