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Econ high now - GDP Growth</w:t>
      </w:r>
    </w:p>
    <w:p>
      <w:pPr>
        <w:spacing w:after="80"/>
      </w:pPr>
      <w:r>
        <w:rPr>
          <w:b/>
          <w:i w:val="0"/>
          <w:smallCaps w:val="0"/>
          <w:strike w:val="0"/>
          <w:sz w:val="26"/>
          <w:u w:val="none"/>
        </w:rPr>
        <w:t>Gibbard 6/20</w:t>
      </w:r>
      <w:r>
        <w:rPr>
          <w:b/>
          <w:i w:val="0"/>
          <w:smallCaps w:val="0"/>
          <w:strike w:val="0"/>
          <w:sz w:val="26"/>
          <w:u w:val="none"/>
        </w:rPr>
        <w:t>.</w:t>
      </w:r>
      <w:r>
        <w:rPr>
          <w:b/>
          <w:i w:val="0"/>
          <w:smallCaps w:val="0"/>
          <w:strike w:val="0"/>
          <w:sz w:val="26"/>
          <w:u w:val="none"/>
        </w:rPr>
        <w:t xml:space="preserve"> </w:t>
      </w:r>
      <w:r>
        <w:rPr>
          <w:b w:val="0"/>
          <w:i w:val="0"/>
          <w:smallCaps w:val="0"/>
          <w:strike w:val="0"/>
          <w:u w:val="none"/>
        </w:rPr>
        <w:t>Robyn Gibbard is a manager at Deloitte LLP’s macroeconomics team. He is an experienced modeler and has been contributing to published macroeconomic forecasts since 2016.  “United States Economic Forecast” https://www2.deloitte.com/us/en/insights/economy/us-economic-forecast/united-states-outlook-analysis.html Accessed 7/1/24 NHS BG</w:t>
      </w:r>
    </w:p>
    <w:p>
      <w:pPr>
        <w:spacing w:after="60"/>
      </w:pPr>
      <w:r>
        <w:rPr>
          <w:b w:val="0"/>
          <w:i w:val="0"/>
          <w:smallCaps w:val="0"/>
          <w:strike w:val="0"/>
          <w:sz w:val="22"/>
          <w:highlight w:val="cyan"/>
          <w:u w:val="single"/>
        </w:rPr>
        <w:t>Growth in</w:t>
      </w:r>
      <w:r>
        <w:rPr>
          <w:b w:val="0"/>
          <w:i w:val="0"/>
          <w:smallCaps w:val="0"/>
          <w:strike w:val="0"/>
          <w:sz w:val="22"/>
          <w:u w:val="single"/>
        </w:rPr>
        <w:t xml:space="preserve"> the </w:t>
      </w:r>
      <w:r>
        <w:rPr>
          <w:b w:val="0"/>
          <w:i w:val="0"/>
          <w:smallCaps w:val="0"/>
          <w:strike w:val="0"/>
          <w:sz w:val="22"/>
          <w:highlight w:val="cyan"/>
          <w:u w:val="single"/>
        </w:rPr>
        <w:t>US econ</w:t>
      </w:r>
      <w:r>
        <w:rPr>
          <w:b w:val="0"/>
          <w:i w:val="0"/>
          <w:smallCaps w:val="0"/>
          <w:strike w:val="0"/>
          <w:sz w:val="22"/>
          <w:u w:val="single"/>
        </w:rPr>
        <w:t xml:space="preserve">omy </w:t>
      </w:r>
      <w:r>
        <w:rPr>
          <w:b w:val="0"/>
          <w:i w:val="0"/>
          <w:smallCaps w:val="0"/>
          <w:strike w:val="0"/>
          <w:sz w:val="22"/>
          <w:highlight w:val="cyan"/>
          <w:u w:val="single"/>
        </w:rPr>
        <w:t>continues</w:t>
      </w:r>
      <w:r>
        <w:rPr>
          <w:b w:val="0"/>
          <w:i w:val="0"/>
          <w:smallCaps w:val="0"/>
          <w:strike w:val="0"/>
          <w:sz w:val="22"/>
          <w:u w:val="single"/>
        </w:rPr>
        <w:t xml:space="preserve"> to </w:t>
      </w:r>
      <w:r>
        <w:rPr>
          <w:b w:val="0"/>
          <w:i w:val="0"/>
          <w:smallCaps w:val="0"/>
          <w:strike w:val="0"/>
          <w:sz w:val="22"/>
          <w:u w:val="single"/>
        </w:rPr>
        <w:t>come in</w:t>
      </w:r>
      <w:r>
        <w:rPr>
          <w:b w:val="0"/>
          <w:i w:val="0"/>
          <w:smallCaps w:val="0"/>
          <w:strike w:val="0"/>
          <w:sz w:val="22"/>
          <w:u w:val="single"/>
        </w:rPr>
        <w:t xml:space="preserve"> above expectations, despite elevated interest rates, weakness in other major economies, and the drawdown of excess savings. </w:t>
      </w:r>
      <w:r>
        <w:rPr>
          <w:b w:val="0"/>
          <w:i w:val="0"/>
          <w:smallCaps w:val="0"/>
          <w:strike w:val="0"/>
          <w:sz w:val="22"/>
          <w:highlight w:val="cyan"/>
          <w:u w:val="single"/>
        </w:rPr>
        <w:t>Although</w:t>
      </w:r>
      <w:r>
        <w:rPr>
          <w:b w:val="0"/>
          <w:i w:val="0"/>
          <w:smallCaps w:val="0"/>
          <w:strike w:val="0"/>
          <w:sz w:val="22"/>
          <w:u w:val="single"/>
        </w:rPr>
        <w:t xml:space="preserve"> real </w:t>
      </w:r>
      <w:r>
        <w:rPr>
          <w:b w:val="0"/>
          <w:i w:val="0"/>
          <w:smallCaps w:val="0"/>
          <w:strike w:val="0"/>
          <w:sz w:val="22"/>
          <w:highlight w:val="cyan"/>
          <w:u w:val="single"/>
        </w:rPr>
        <w:t>GDP</w:t>
      </w:r>
      <w:r>
        <w:rPr>
          <w:b w:val="0"/>
          <w:i w:val="0"/>
          <w:smallCaps w:val="0"/>
          <w:strike w:val="0"/>
          <w:sz w:val="22"/>
          <w:u w:val="single"/>
        </w:rPr>
        <w:t xml:space="preserve"> growth </w:t>
      </w:r>
      <w:r>
        <w:rPr>
          <w:b w:val="0"/>
          <w:i w:val="0"/>
          <w:smallCaps w:val="0"/>
          <w:strike w:val="0"/>
          <w:sz w:val="22"/>
          <w:highlight w:val="cyan"/>
          <w:u w:val="single"/>
        </w:rPr>
        <w:t>slowed</w:t>
      </w:r>
      <w:r>
        <w:rPr>
          <w:b w:val="0"/>
          <w:i w:val="0"/>
          <w:smallCaps w:val="0"/>
          <w:strike w:val="0"/>
          <w:sz w:val="22"/>
          <w:u w:val="single"/>
        </w:rPr>
        <w:t xml:space="preserve"> in the first quarter of this year, it is looking increasingly as though </w:t>
      </w:r>
      <w:r>
        <w:rPr>
          <w:b w:val="0"/>
          <w:i w:val="0"/>
          <w:smallCaps w:val="0"/>
          <w:strike w:val="0"/>
          <w:sz w:val="22"/>
          <w:highlight w:val="cyan"/>
          <w:u w:val="single"/>
        </w:rPr>
        <w:t>policymakers</w:t>
      </w:r>
      <w:r>
        <w:rPr>
          <w:b w:val="0"/>
          <w:i w:val="0"/>
          <w:smallCaps w:val="0"/>
          <w:strike w:val="0"/>
          <w:sz w:val="22"/>
          <w:u w:val="single"/>
        </w:rPr>
        <w:t xml:space="preserve"> have managed to </w:t>
      </w:r>
      <w:r>
        <w:rPr>
          <w:b w:val="0"/>
          <w:i w:val="0"/>
          <w:smallCaps w:val="0"/>
          <w:strike w:val="0"/>
          <w:sz w:val="22"/>
          <w:highlight w:val="cyan"/>
          <w:u w:val="single"/>
        </w:rPr>
        <w:t>avoid</w:t>
      </w:r>
      <w:r>
        <w:rPr>
          <w:b w:val="0"/>
          <w:i w:val="0"/>
          <w:smallCaps w:val="0"/>
          <w:strike w:val="0"/>
          <w:sz w:val="22"/>
          <w:u w:val="single"/>
        </w:rPr>
        <w:t xml:space="preserve"> a </w:t>
      </w:r>
      <w:r>
        <w:rPr>
          <w:b w:val="0"/>
          <w:i w:val="0"/>
          <w:smallCaps w:val="0"/>
          <w:strike w:val="0"/>
          <w:sz w:val="22"/>
          <w:highlight w:val="cyan"/>
          <w:u w:val="single"/>
        </w:rPr>
        <w:t>recession</w:t>
      </w:r>
      <w:r>
        <w:rPr>
          <w:b w:val="0"/>
          <w:i w:val="0"/>
          <w:smallCaps w:val="0"/>
          <w:strike w:val="0"/>
          <w:sz w:val="22"/>
          <w:u w:val="single"/>
        </w:rPr>
        <w:t xml:space="preserve">, all while </w:t>
      </w:r>
      <w:r>
        <w:rPr>
          <w:b w:val="0"/>
          <w:i w:val="0"/>
          <w:smallCaps w:val="0"/>
          <w:strike w:val="0"/>
          <w:sz w:val="22"/>
          <w:highlight w:val="cyan"/>
          <w:u w:val="single"/>
        </w:rPr>
        <w:t>bringing down inflation</w:t>
      </w:r>
      <w:r>
        <w:rPr>
          <w:b w:val="0"/>
          <w:i w:val="0"/>
          <w:smallCaps w:val="0"/>
          <w:strike w:val="0"/>
          <w:sz w:val="22"/>
          <w:u w:val="single"/>
        </w:rPr>
        <w:t xml:space="preserve"> closer to the 2% target.</w:t>
      </w:r>
      <w:r>
        <w:rPr>
          <w:b w:val="0"/>
          <w:i w:val="0"/>
          <w:smallCaps w:val="0"/>
          <w:strike w:val="0"/>
          <w:u w:val="none"/>
        </w:rPr>
        <w:t xml:space="preserve"> </w:t>
      </w:r>
      <w:r>
        <w:rPr>
          <w:b w:val="0"/>
          <w:i w:val="0"/>
          <w:smallCaps w:val="0"/>
          <w:strike w:val="0"/>
          <w:sz w:val="16"/>
          <w:u w:val="none"/>
        </w:rPr>
        <w:t xml:space="preserve">Deloitte’s baseline scenario is still positive in the near term. </w:t>
      </w:r>
      <w:r>
        <w:rPr>
          <w:b w:val="0"/>
          <w:i w:val="0"/>
          <w:smallCaps w:val="0"/>
          <w:strike w:val="0"/>
          <w:sz w:val="22"/>
          <w:highlight w:val="cyan"/>
          <w:u w:val="single"/>
        </w:rPr>
        <w:t>Consumer spending</w:t>
      </w:r>
      <w:r>
        <w:rPr>
          <w:b w:val="0"/>
          <w:i w:val="0"/>
          <w:smallCaps w:val="0"/>
          <w:strike w:val="0"/>
          <w:sz w:val="22"/>
          <w:u w:val="single"/>
        </w:rPr>
        <w:t xml:space="preserve"> is </w:t>
      </w:r>
      <w:r>
        <w:rPr>
          <w:b w:val="0"/>
          <w:i w:val="0"/>
          <w:smallCaps w:val="0"/>
          <w:strike w:val="0"/>
          <w:sz w:val="22"/>
          <w:highlight w:val="cyan"/>
          <w:u w:val="single"/>
        </w:rPr>
        <w:t>expected to remain strong</w:t>
      </w:r>
      <w:r>
        <w:rPr>
          <w:b w:val="0"/>
          <w:i w:val="0"/>
          <w:smallCaps w:val="0"/>
          <w:strike w:val="0"/>
          <w:sz w:val="22"/>
          <w:u w:val="single"/>
        </w:rPr>
        <w:t xml:space="preserve"> for the first half of 2024 due to sustained improvements in the labor market and stable levels of spending by the business and government sectors.</w:t>
      </w:r>
      <w:r>
        <w:rPr>
          <w:b w:val="0"/>
          <w:i w:val="0"/>
          <w:smallCaps w:val="0"/>
          <w:strike w:val="0"/>
          <w:u w:val="none"/>
        </w:rPr>
        <w:t xml:space="preserve"> </w:t>
      </w:r>
      <w:r>
        <w:rPr>
          <w:b w:val="0"/>
          <w:i w:val="0"/>
          <w:smallCaps w:val="0"/>
          <w:strike w:val="0"/>
          <w:sz w:val="22"/>
          <w:u w:val="single"/>
        </w:rPr>
        <w:t xml:space="preserve">These </w:t>
      </w:r>
      <w:r>
        <w:rPr>
          <w:b w:val="0"/>
          <w:i w:val="0"/>
          <w:smallCaps w:val="0"/>
          <w:strike w:val="0"/>
          <w:sz w:val="22"/>
          <w:highlight w:val="cyan"/>
          <w:u w:val="single"/>
        </w:rPr>
        <w:t>factors</w:t>
      </w:r>
      <w:r>
        <w:rPr>
          <w:b w:val="0"/>
          <w:i w:val="0"/>
          <w:smallCaps w:val="0"/>
          <w:strike w:val="0"/>
          <w:sz w:val="22"/>
          <w:u w:val="single"/>
        </w:rPr>
        <w:t xml:space="preserve"> are </w:t>
      </w:r>
      <w:r>
        <w:rPr>
          <w:b w:val="0"/>
          <w:i w:val="0"/>
          <w:smallCaps w:val="0"/>
          <w:strike w:val="0"/>
          <w:sz w:val="22"/>
          <w:highlight w:val="cyan"/>
          <w:u w:val="single"/>
        </w:rPr>
        <w:t>projected to support real GDP growth</w:t>
      </w:r>
      <w:r>
        <w:rPr>
          <w:b w:val="0"/>
          <w:i w:val="0"/>
          <w:smallCaps w:val="0"/>
          <w:strike w:val="0"/>
          <w:sz w:val="22"/>
          <w:u w:val="single"/>
        </w:rPr>
        <w:t xml:space="preserve"> this year. While Deloitte’s baseline forecast remains hopeful, we have once again included a scenario that is more optimistic than our baseline—one where labor productivity gains surpass baseline expectations, and structural changes to the labor market occur in the longer term. However, economists are often skeptical of embracing pure optimism.</w:t>
      </w:r>
      <w:r>
        <w:rPr>
          <w:b w:val="0"/>
          <w:i w:val="0"/>
          <w:smallCaps w:val="0"/>
          <w:strike w:val="0"/>
          <w:u w:val="none"/>
        </w:rPr>
        <w:t xml:space="preserve"> </w:t>
      </w:r>
      <w:r>
        <w:rPr>
          <w:b w:val="0"/>
          <w:i w:val="0"/>
          <w:smallCaps w:val="0"/>
          <w:strike w:val="0"/>
          <w:sz w:val="16"/>
          <w:u w:val="none"/>
        </w:rPr>
        <w:t xml:space="preserve">We have therefore developed a scenario highlighting the short-to-medium-term downside risks still clouding the outlook. In this scenario, continued geopolitical conflicts and trade actions cause inflation to stay higher for longer, driving the Federal Reserve to hike rates.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