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Econ turns climate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Jalles</w:t>
      </w:r>
      <w:r>
        <w:rPr>
          <w:b/>
          <w:i w:val="0"/>
          <w:smallCaps w:val="0"/>
          <w:strike w:val="0"/>
          <w:sz w:val="26"/>
          <w:u w:val="none"/>
        </w:rPr>
        <w:t xml:space="preserve"> 23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u w:val="none"/>
        </w:rPr>
        <w:t xml:space="preserve">Dr. João Tovar </w:t>
      </w:r>
      <w:r>
        <w:rPr>
          <w:b w:val="0"/>
          <w:i w:val="0"/>
          <w:smallCaps w:val="0"/>
          <w:strike w:val="0"/>
          <w:u w:val="none"/>
        </w:rPr>
        <w:t>Jalles</w:t>
      </w:r>
      <w:r>
        <w:rPr>
          <w:b w:val="0"/>
          <w:i w:val="0"/>
          <w:smallCaps w:val="0"/>
          <w:strike w:val="0"/>
          <w:u w:val="none"/>
        </w:rPr>
        <w:t xml:space="preserve">, Senior Associate Professor of Economics at the University of Lisbon. Previously, he was a Senior Economist at the Portuguese Public Finance Council. Before that he spent 5 years at the IMF. Ph.D. in Economics from the University of Cambridge (UK). João is among the top 1% economic authors in the World based on IDEAS databases last 10-year publications (the largest bibliographic database dedicated to Economics. “Financial Crises and Climate Change,” </w:t>
      </w:r>
      <w:r>
        <w:rPr>
          <w:b w:val="0"/>
          <w:i/>
          <w:smallCaps w:val="0"/>
          <w:strike w:val="0"/>
          <w:u w:val="none"/>
        </w:rPr>
        <w:t>Comparative Economic Studies</w:t>
      </w:r>
      <w:r>
        <w:rPr>
          <w:b w:val="0"/>
          <w:i w:val="0"/>
          <w:smallCaps w:val="0"/>
          <w:strike w:val="0"/>
          <w:u w:val="none"/>
        </w:rPr>
        <w:t xml:space="preserve"> Volume 66 (2023), pages 166–190. https://doi.org/10.1057/s41294-023-00209-7, Accessed: 7/1/2024) SJR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12121"/>
          <w:sz w:val="16"/>
          <w:u w:val="none"/>
        </w:rPr>
        <w:t>Notwithstanding, these studies mix the short- and the long-term implications of financial crises for the environment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For some,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despite short-term reductions in emissions in crisis years, economic crises are typically not good for the environment.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The main argument is that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recessions, by making access to capital more difficult, negatively affect emissions reduction efforts through their discouraging effects on investments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 (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including investments in low-carbon tech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) (Del Río and Labandeira </w:t>
      </w:r>
      <w:r>
        <w:rPr>
          <w:b w:val="0"/>
          <w:i w:val="0"/>
          <w:smallCaps w:val="0"/>
          <w:strike w:val="0"/>
          <w:sz w:val="16"/>
          <w:u w:val="none"/>
        </w:rPr>
        <w:t>2009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).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Both governments and the private sector focus on the recovery and on adapting their respective budgets, are shifted away from climate policies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As a result, crises lead to postponement of environmental projects as surviving the crisis becomes the goal,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rather than transitionary at that time to a “green” company or economy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Also,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at a time of economic crisis, carbon lock-in is much more likely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>6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Additionally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lower energy prices during crises, reduce the economic viability of clean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er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tech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nologies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Governments are likely to avoid burdening businesses with extra costs and regulation at a time when the economy is 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fragile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 xml:space="preserve"> and jobs may be at risk (Wooders and Runnals </w:t>
      </w:r>
      <w:r>
        <w:rPr>
          <w:b w:val="0"/>
          <w:i w:val="0"/>
          <w:smallCaps w:val="0"/>
          <w:strike w:val="0"/>
          <w:sz w:val="16"/>
          <w:u w:val="none"/>
        </w:rPr>
        <w:t>2008</w:t>
      </w:r>
      <w:r>
        <w:rPr>
          <w:b w:val="0"/>
          <w:i w:val="0"/>
          <w:smallCaps w:val="0"/>
          <w:strike w:val="0"/>
          <w:color w:val="212121"/>
          <w:sz w:val="16"/>
          <w:u w:val="none"/>
        </w:rPr>
        <w:t>)</w:t>
      </w:r>
      <w:r>
        <w:rPr>
          <w:b w:val="0"/>
          <w:i w:val="0"/>
          <w:smallCaps w:val="0"/>
          <w:strike w:val="0"/>
          <w:color w:val="212121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Such scenarios also assume a low political will to implement climate policy in the short term and a reduced incentive to participate in international agreements to tackle the issue in the longer term.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