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Companies don’t have the resources to protect their IP in recessions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INTA 24, </w:t>
      </w:r>
      <w:r>
        <w:rPr>
          <w:b w:val="0"/>
          <w:i w:val="0"/>
          <w:smallCaps w:val="0"/>
          <w:strike w:val="0"/>
          <w:u w:val="none"/>
        </w:rPr>
        <w:t>The International Trademark Association (INTA) is a global association of brand owners and professionals supporting trademarks and complementary intellectual property (IP), “IP IN TIMES OF RECESSION,” March 2024, https://www.inta.org/wp-content/uploads/public-files/perspectives/industry-research/IP-IN-TIMES-OF-RECESSION_012624.pdf, Accessed: 7/1/2024 //CPSW MC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recession impacts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intellectual property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) ecosystem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many ways. Some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the </w:t>
      </w:r>
      <w:r>
        <w:rPr>
          <w:b w:val="0"/>
          <w:i w:val="0"/>
          <w:smallCaps w:val="0"/>
          <w:strike w:val="0"/>
          <w:sz w:val="22"/>
          <w:u w:val="single"/>
        </w:rPr>
        <w:t>major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immediate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impacts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include</w:t>
      </w:r>
      <w:r>
        <w:rPr>
          <w:b w:val="0"/>
          <w:i w:val="0"/>
          <w:smallCaps w:val="0"/>
          <w:strike w:val="0"/>
          <w:sz w:val="22"/>
          <w:u w:val="single"/>
        </w:rPr>
        <w:t>: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Reduced budgets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allocated: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forces business owners to focus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core brands markets and makes them less likely to oppose third-party marks or file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cancellation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possibly even to delay the launch of new brands and/or products. II. Increased spend on technology: It appears that both law firms and the in-house departments increase their spend on technology in times of recession. While law firms tend to do so to increase the efficiency of their work product, the in-house teams appear to do so owing to the budget crisis. III. Changes in staffing: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Recessions have an impact on law firm employment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there may be job losses or IP practitioners that leave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firm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may not be replaced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IV. Decline in M&amp;A activity before a recession. However, companies that have the resources to invest may reap benefits as the research shows that companies that make acquisitions during a recession are likely to see better shareholder returns in the long term. In summary,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recession tends to reduce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investment 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maintaining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protecting IP assets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but leads to greater investment in legal tech to gain efficiency in tough times.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