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FTC is pursuing antitrust regulation over AI monopolies now. </w:t>
      </w:r>
    </w:p>
    <w:p>
      <w:pPr>
        <w:spacing w:after="80"/>
      </w:pPr>
      <w:r>
        <w:rPr>
          <w:b/>
          <w:i w:val="0"/>
          <w:smallCaps w:val="0"/>
          <w:strike w:val="0"/>
          <w:sz w:val="26"/>
          <w:u w:val="none"/>
        </w:rPr>
        <w:t>Merino 24</w:t>
      </w:r>
      <w:r>
        <w:rPr>
          <w:b w:val="0"/>
          <w:i w:val="0"/>
          <w:smallCaps w:val="0"/>
          <w:strike w:val="0"/>
          <w:u w:val="none"/>
        </w:rPr>
        <w:t xml:space="preserve"> [Maydeen Merino, 1-31-2024, “FTC Seeks to Ensure AI Does Not Close Off Markets, Feed Monopolies, Khan Says,” Law.com, </w:t>
      </w:r>
      <w:r>
        <w:rPr>
          <w:b w:val="0"/>
          <w:i w:val="0"/>
          <w:smallCaps w:val="0"/>
          <w:strike w:val="0"/>
          <w:u w:val="none"/>
        </w:rPr>
        <w:t>https://www.law.com/nationallawjournal/2024/01/31/ftc-seeks-to-ensure-ai-does-not-close-off-markets-feed-monopolies-khan-says/?slreturn=20240604144825</w:t>
      </w:r>
      <w:r>
        <w:rPr>
          <w:b w:val="0"/>
          <w:i w:val="0"/>
          <w:smallCaps w:val="0"/>
          <w:strike w:val="0"/>
          <w:u w:val="none"/>
        </w:rPr>
        <w:t>, Accessed 7-4-2024]//</w:t>
      </w:r>
      <w:r>
        <w:rPr>
          <w:b w:val="0"/>
          <w:i w:val="0"/>
          <w:smallCaps w:val="0"/>
          <w:strike w:val="0"/>
          <w:u w:val="none"/>
        </w:rPr>
        <w:t>dedeepya</w:t>
      </w:r>
    </w:p>
    <w:p>
      <w:pPr>
        <w:spacing w:after="60"/>
      </w:pPr>
      <w:r>
        <w:rPr>
          <w:b w:val="0"/>
          <w:i w:val="0"/>
          <w:smallCaps w:val="0"/>
          <w:strike w:val="0"/>
          <w:sz w:val="16"/>
          <w:u w:val="none"/>
        </w:rPr>
        <w:t xml:space="preserve">As it examines artificial intelligence, </w:t>
      </w:r>
      <w:r>
        <w:rPr>
          <w:b w:val="0"/>
          <w:i w:val="0"/>
          <w:smallCaps w:val="0"/>
          <w:strike w:val="0"/>
          <w:sz w:val="16"/>
          <w:highlight w:val="cyan"/>
          <w:u w:val="none"/>
        </w:rPr>
        <w:t xml:space="preserve">the </w:t>
      </w:r>
      <w:r>
        <w:rPr>
          <w:b w:val="0"/>
          <w:i w:val="0"/>
          <w:smallCaps w:val="0"/>
          <w:strike w:val="0"/>
          <w:sz w:val="22"/>
          <w:highlight w:val="cyan"/>
          <w:u w:val="single"/>
        </w:rPr>
        <w:t>F</w:t>
      </w:r>
      <w:r>
        <w:rPr>
          <w:b w:val="0"/>
          <w:i w:val="0"/>
          <w:smallCaps w:val="0"/>
          <w:strike w:val="0"/>
          <w:sz w:val="22"/>
          <w:u w:val="single"/>
        </w:rPr>
        <w:t xml:space="preserve">ederal </w:t>
      </w:r>
      <w:r>
        <w:rPr>
          <w:b w:val="0"/>
          <w:i w:val="0"/>
          <w:smallCaps w:val="0"/>
          <w:strike w:val="0"/>
          <w:sz w:val="22"/>
          <w:highlight w:val="cyan"/>
          <w:u w:val="single"/>
        </w:rPr>
        <w:t>T</w:t>
      </w:r>
      <w:r>
        <w:rPr>
          <w:b w:val="0"/>
          <w:i w:val="0"/>
          <w:smallCaps w:val="0"/>
          <w:strike w:val="0"/>
          <w:sz w:val="22"/>
          <w:u w:val="single"/>
        </w:rPr>
        <w:t xml:space="preserve">rade </w:t>
      </w:r>
      <w:r>
        <w:rPr>
          <w:b w:val="0"/>
          <w:i w:val="0"/>
          <w:smallCaps w:val="0"/>
          <w:strike w:val="0"/>
          <w:sz w:val="22"/>
          <w:highlight w:val="cyan"/>
          <w:u w:val="single"/>
        </w:rPr>
        <w:t>C</w:t>
      </w:r>
      <w:r>
        <w:rPr>
          <w:b w:val="0"/>
          <w:i w:val="0"/>
          <w:smallCaps w:val="0"/>
          <w:strike w:val="0"/>
          <w:sz w:val="22"/>
          <w:u w:val="single"/>
        </w:rPr>
        <w:t xml:space="preserve">ommission </w:t>
      </w:r>
      <w:r>
        <w:rPr>
          <w:b w:val="0"/>
          <w:i w:val="0"/>
          <w:smallCaps w:val="0"/>
          <w:strike w:val="0"/>
          <w:sz w:val="22"/>
          <w:highlight w:val="cyan"/>
          <w:u w:val="single"/>
        </w:rPr>
        <w:t>will seek to ensure</w:t>
      </w:r>
      <w:r>
        <w:rPr>
          <w:b w:val="0"/>
          <w:i w:val="0"/>
          <w:smallCaps w:val="0"/>
          <w:strike w:val="0"/>
          <w:sz w:val="22"/>
          <w:u w:val="single"/>
        </w:rPr>
        <w:t xml:space="preserve"> these </w:t>
      </w:r>
      <w:r>
        <w:rPr>
          <w:b w:val="0"/>
          <w:i w:val="0"/>
          <w:smallCaps w:val="0"/>
          <w:strike w:val="0"/>
          <w:sz w:val="22"/>
          <w:highlight w:val="cyan"/>
          <w:u w:val="single"/>
        </w:rPr>
        <w:t xml:space="preserve">quickly emerging technologies do not </w:t>
      </w:r>
      <w:r>
        <w:rPr>
          <w:b/>
          <w:i w:val="0"/>
          <w:smallCaps w:val="0"/>
          <w:strike w:val="0"/>
          <w:sz w:val="22"/>
          <w:highlight w:val="cyan"/>
          <w:u w:val="single"/>
        </w:rPr>
        <w:t>close markets</w:t>
      </w:r>
      <w:r>
        <w:rPr>
          <w:b w:val="0"/>
          <w:i w:val="0"/>
          <w:smallCaps w:val="0"/>
          <w:strike w:val="0"/>
          <w:sz w:val="22"/>
          <w:highlight w:val="cyan"/>
          <w:u w:val="single"/>
        </w:rPr>
        <w:t xml:space="preserve"> or feed</w:t>
      </w:r>
      <w:r>
        <w:rPr>
          <w:b w:val="0"/>
          <w:i w:val="0"/>
          <w:smallCaps w:val="0"/>
          <w:strike w:val="0"/>
          <w:sz w:val="22"/>
          <w:u w:val="single"/>
        </w:rPr>
        <w:t xml:space="preserve"> into existing </w:t>
      </w:r>
      <w:r>
        <w:rPr>
          <w:b/>
          <w:i w:val="0"/>
          <w:smallCaps w:val="0"/>
          <w:strike w:val="0"/>
          <w:sz w:val="22"/>
          <w:highlight w:val="cyan"/>
          <w:u w:val="single"/>
        </w:rPr>
        <w:t>monopoly</w:t>
      </w:r>
      <w:r>
        <w:rPr>
          <w:b w:val="0"/>
          <w:i w:val="0"/>
          <w:smallCaps w:val="0"/>
          <w:strike w:val="0"/>
          <w:sz w:val="22"/>
          <w:highlight w:val="cyan"/>
          <w:u w:val="single"/>
        </w:rPr>
        <w:t xml:space="preserve"> powers</w:t>
      </w:r>
      <w:r>
        <w:rPr>
          <w:b w:val="0"/>
          <w:i w:val="0"/>
          <w:smallCaps w:val="0"/>
          <w:strike w:val="0"/>
          <w:sz w:val="22"/>
          <w:u w:val="single"/>
        </w:rPr>
        <w:t>,</w:t>
      </w:r>
      <w:r>
        <w:rPr>
          <w:b w:val="0"/>
          <w:i w:val="0"/>
          <w:smallCaps w:val="0"/>
          <w:strike w:val="0"/>
          <w:sz w:val="16"/>
          <w:u w:val="none"/>
        </w:rPr>
        <w:t xml:space="preserve"> FTC Chair Lina Khan said Wednesday at an international regulatory session in Brussels.</w:t>
      </w:r>
      <w:r>
        <w:rPr>
          <w:b w:val="0"/>
          <w:i w:val="0"/>
          <w:smallCaps w:val="0"/>
          <w:strike w:val="0"/>
          <w:sz w:val="16"/>
          <w:u w:val="none"/>
        </w:rPr>
        <w:t xml:space="preserve"> </w:t>
      </w:r>
      <w:r>
        <w:rPr>
          <w:b w:val="0"/>
          <w:i w:val="0"/>
          <w:smallCaps w:val="0"/>
          <w:strike w:val="0"/>
          <w:sz w:val="16"/>
          <w:u w:val="none"/>
        </w:rPr>
        <w:t xml:space="preserve">“There’s no doubt that these tools could provide enormous opportunity that could really catalyze growth and innovation,” Khan said at the “Antitrust, Regulation and the Next World Order” conference hosted by the Capitol Forum. “But historically, we’ve seen that these </w:t>
      </w:r>
      <w:r>
        <w:rPr>
          <w:b w:val="0"/>
          <w:i w:val="0"/>
          <w:smallCaps w:val="0"/>
          <w:strike w:val="0"/>
          <w:sz w:val="22"/>
          <w:u w:val="single"/>
        </w:rPr>
        <w:t xml:space="preserve">moments of technological inflection points and disruption can either open up markets, or they can be used to close off markets and </w:t>
      </w:r>
      <w:r>
        <w:rPr>
          <w:b/>
          <w:i w:val="0"/>
          <w:smallCaps w:val="0"/>
          <w:strike w:val="0"/>
          <w:sz w:val="22"/>
          <w:u w:val="single"/>
        </w:rPr>
        <w:t>double down</w:t>
      </w:r>
      <w:r>
        <w:rPr>
          <w:b w:val="0"/>
          <w:i w:val="0"/>
          <w:smallCaps w:val="0"/>
          <w:strike w:val="0"/>
          <w:sz w:val="22"/>
          <w:u w:val="single"/>
        </w:rPr>
        <w:t xml:space="preserve"> on existing </w:t>
      </w:r>
      <w:r>
        <w:rPr>
          <w:b/>
          <w:i w:val="0"/>
          <w:smallCaps w:val="0"/>
          <w:strike w:val="0"/>
          <w:sz w:val="22"/>
          <w:u w:val="single"/>
        </w:rPr>
        <w:t>monopoly power</w:t>
      </w:r>
      <w:r>
        <w:rPr>
          <w:b w:val="0"/>
          <w:i w:val="0"/>
          <w:smallCaps w:val="0"/>
          <w:strike w:val="0"/>
          <w:sz w:val="22"/>
          <w:u w:val="single"/>
        </w:rPr>
        <w:t>.”</w:t>
      </w:r>
      <w:r>
        <w:rPr>
          <w:b w:val="0"/>
          <w:i w:val="0"/>
          <w:smallCaps w:val="0"/>
          <w:strike w:val="0"/>
          <w:sz w:val="22"/>
          <w:u w:val="single"/>
        </w:rPr>
        <w:t xml:space="preserve"> </w:t>
      </w:r>
      <w:r>
        <w:rPr>
          <w:b w:val="0"/>
          <w:i w:val="0"/>
          <w:smallCaps w:val="0"/>
          <w:strike w:val="0"/>
          <w:sz w:val="16"/>
          <w:u w:val="none"/>
        </w:rPr>
        <w:t xml:space="preserve">The </w:t>
      </w:r>
      <w:r>
        <w:rPr>
          <w:b w:val="0"/>
          <w:i w:val="0"/>
          <w:smallCaps w:val="0"/>
          <w:strike w:val="0"/>
          <w:sz w:val="22"/>
          <w:highlight w:val="cyan"/>
          <w:u w:val="single"/>
        </w:rPr>
        <w:t xml:space="preserve">FTC is “taking a </w:t>
      </w:r>
      <w:r>
        <w:rPr>
          <w:b/>
          <w:i w:val="0"/>
          <w:smallCaps w:val="0"/>
          <w:strike w:val="0"/>
          <w:sz w:val="22"/>
          <w:highlight w:val="cyan"/>
          <w:u w:val="single"/>
        </w:rPr>
        <w:t>holistic approach</w:t>
      </w:r>
      <w:r>
        <w:rPr>
          <w:b w:val="0"/>
          <w:i w:val="0"/>
          <w:smallCaps w:val="0"/>
          <w:strike w:val="0"/>
          <w:sz w:val="22"/>
          <w:highlight w:val="cyan"/>
          <w:u w:val="single"/>
        </w:rPr>
        <w:t xml:space="preserve"> across the AI</w:t>
      </w:r>
      <w:r>
        <w:rPr>
          <w:b w:val="0"/>
          <w:i w:val="0"/>
          <w:smallCaps w:val="0"/>
          <w:strike w:val="0"/>
          <w:sz w:val="22"/>
          <w:u w:val="single"/>
        </w:rPr>
        <w:t>,”</w:t>
      </w:r>
      <w:r>
        <w:rPr>
          <w:b w:val="0"/>
          <w:i w:val="0"/>
          <w:smallCaps w:val="0"/>
          <w:strike w:val="0"/>
          <w:sz w:val="16"/>
          <w:u w:val="none"/>
        </w:rPr>
        <w:t xml:space="preserve"> Khan added.</w:t>
      </w:r>
      <w:r>
        <w:rPr>
          <w:b w:val="0"/>
          <w:i w:val="0"/>
          <w:smallCaps w:val="0"/>
          <w:strike w:val="0"/>
          <w:sz w:val="16"/>
          <w:u w:val="none"/>
        </w:rPr>
        <w:t xml:space="preserve"> </w:t>
      </w:r>
      <w:r>
        <w:rPr>
          <w:b w:val="0"/>
          <w:i w:val="0"/>
          <w:smallCaps w:val="0"/>
          <w:strike w:val="0"/>
          <w:sz w:val="16"/>
          <w:u w:val="none"/>
        </w:rPr>
        <w:t>“We’ve been very fortunate to build up a team of technologists in-house that can help us look under the hood,” she said. “</w:t>
      </w:r>
      <w:r>
        <w:rPr>
          <w:b w:val="0"/>
          <w:i w:val="0"/>
          <w:smallCaps w:val="0"/>
          <w:strike w:val="0"/>
          <w:sz w:val="16"/>
          <w:u w:val="none"/>
        </w:rPr>
        <w:t>So</w:t>
      </w:r>
      <w:r>
        <w:rPr>
          <w:b w:val="0"/>
          <w:i w:val="0"/>
          <w:smallCaps w:val="0"/>
          <w:strike w:val="0"/>
          <w:sz w:val="16"/>
          <w:u w:val="none"/>
        </w:rPr>
        <w:t xml:space="preserve"> we’ve been going layer by layer from chips and cloud and compute to the foundation models to the applications to understand what are the key economic properties here.”</w:t>
      </w:r>
      <w:r>
        <w:rPr>
          <w:b w:val="0"/>
          <w:i w:val="0"/>
          <w:smallCaps w:val="0"/>
          <w:strike w:val="0"/>
          <w:sz w:val="16"/>
          <w:u w:val="none"/>
        </w:rPr>
        <w:t xml:space="preserve"> </w:t>
      </w:r>
      <w:r>
        <w:rPr>
          <w:b w:val="0"/>
          <w:i w:val="0"/>
          <w:smallCaps w:val="0"/>
          <w:strike w:val="0"/>
          <w:sz w:val="16"/>
          <w:u w:val="none"/>
        </w:rPr>
        <w:t xml:space="preserve">President Joe </w:t>
      </w:r>
      <w:r>
        <w:rPr>
          <w:b/>
          <w:i w:val="0"/>
          <w:smallCaps w:val="0"/>
          <w:strike w:val="0"/>
          <w:sz w:val="22"/>
          <w:highlight w:val="cyan"/>
          <w:u w:val="single"/>
        </w:rPr>
        <w:t>Biden</w:t>
      </w:r>
      <w:r>
        <w:rPr>
          <w:b w:val="0"/>
          <w:i w:val="0"/>
          <w:smallCaps w:val="0"/>
          <w:strike w:val="0"/>
          <w:sz w:val="22"/>
          <w:highlight w:val="cyan"/>
          <w:u w:val="single"/>
        </w:rPr>
        <w:t xml:space="preserve"> has called on the</w:t>
      </w:r>
      <w:r>
        <w:rPr>
          <w:b w:val="0"/>
          <w:i w:val="0"/>
          <w:smallCaps w:val="0"/>
          <w:strike w:val="0"/>
          <w:sz w:val="22"/>
          <w:u w:val="single"/>
        </w:rPr>
        <w:t xml:space="preserve"> FTC and other federal </w:t>
      </w:r>
      <w:r>
        <w:rPr>
          <w:b w:val="0"/>
          <w:i w:val="0"/>
          <w:smallCaps w:val="0"/>
          <w:strike w:val="0"/>
          <w:sz w:val="22"/>
          <w:highlight w:val="cyan"/>
          <w:u w:val="single"/>
        </w:rPr>
        <w:t xml:space="preserve">agencies to </w:t>
      </w:r>
      <w:r>
        <w:rPr>
          <w:b/>
          <w:i w:val="0"/>
          <w:smallCaps w:val="0"/>
          <w:strike w:val="0"/>
          <w:sz w:val="22"/>
          <w:highlight w:val="cyan"/>
          <w:u w:val="single"/>
        </w:rPr>
        <w:t>address</w:t>
      </w:r>
      <w:r>
        <w:rPr>
          <w:b w:val="0"/>
          <w:i w:val="0"/>
          <w:smallCaps w:val="0"/>
          <w:strike w:val="0"/>
          <w:sz w:val="22"/>
          <w:highlight w:val="cyan"/>
          <w:u w:val="single"/>
        </w:rPr>
        <w:t xml:space="preserve"> the quickly emerging technology</w:t>
      </w:r>
      <w:r>
        <w:rPr>
          <w:b w:val="0"/>
          <w:i w:val="0"/>
          <w:smallCaps w:val="0"/>
          <w:strike w:val="0"/>
          <w:sz w:val="22"/>
          <w:u w:val="single"/>
        </w:rPr>
        <w:t>.</w:t>
      </w:r>
      <w:r>
        <w:rPr>
          <w:b w:val="0"/>
          <w:i w:val="0"/>
          <w:smallCaps w:val="0"/>
          <w:strike w:val="0"/>
          <w:sz w:val="16"/>
          <w:u w:val="none"/>
        </w:rPr>
        <w:t xml:space="preserve"> </w:t>
      </w:r>
      <w:r>
        <w:rPr>
          <w:b w:val="0"/>
          <w:i w:val="0"/>
          <w:smallCaps w:val="0"/>
          <w:strike w:val="0"/>
          <w:sz w:val="16"/>
          <w:u w:val="none"/>
        </w:rPr>
        <w:t>“It’s a moment of diagnosis and wanting to make sure that our analysis and understanding across the stack … is accurate so that we can then be using any policy or enforcement tools as appropriate to try to get ahead where we can or at least not be decades and decades behind,” Khan said.</w:t>
      </w:r>
      <w:r>
        <w:rPr>
          <w:b w:val="0"/>
          <w:i w:val="0"/>
          <w:smallCaps w:val="0"/>
          <w:strike w:val="0"/>
          <w:sz w:val="16"/>
          <w:u w:val="none"/>
        </w:rPr>
        <w:t xml:space="preserve"> </w:t>
      </w:r>
      <w:r>
        <w:rPr>
          <w:b w:val="0"/>
          <w:i w:val="0"/>
          <w:smallCaps w:val="0"/>
          <w:strike w:val="0"/>
          <w:sz w:val="16"/>
          <w:u w:val="none"/>
        </w:rPr>
        <w:t xml:space="preserve">The </w:t>
      </w:r>
      <w:r>
        <w:rPr>
          <w:b w:val="0"/>
          <w:i w:val="0"/>
          <w:smallCaps w:val="0"/>
          <w:strike w:val="0"/>
          <w:sz w:val="22"/>
          <w:u w:val="single"/>
        </w:rPr>
        <w:t xml:space="preserve">FTC last week ordered five companies to provide the agency with information on recent investments and partnerships involving </w:t>
      </w:r>
      <w:r>
        <w:rPr>
          <w:b/>
          <w:i w:val="0"/>
          <w:smallCaps w:val="0"/>
          <w:strike w:val="0"/>
          <w:sz w:val="22"/>
          <w:u w:val="single"/>
        </w:rPr>
        <w:t>generative artificial intelligence</w:t>
      </w:r>
      <w:r>
        <w:rPr>
          <w:b w:val="0"/>
          <w:i w:val="0"/>
          <w:smallCaps w:val="0"/>
          <w:strike w:val="0"/>
          <w:sz w:val="22"/>
          <w:u w:val="single"/>
        </w:rPr>
        <w:t xml:space="preserve"> and major cloud service providers</w:t>
      </w:r>
      <w:r>
        <w:rPr>
          <w:b w:val="0"/>
          <w:i w:val="0"/>
          <w:smallCaps w:val="0"/>
          <w:strike w:val="0"/>
          <w:sz w:val="16"/>
          <w:u w:val="none"/>
        </w:rPr>
        <w:t>. The agency issued the order under its investigative authority in Section 6(b) of the Federal Trade Commission Act.</w:t>
      </w:r>
      <w:r>
        <w:rPr>
          <w:b w:val="0"/>
          <w:i w:val="0"/>
          <w:smallCaps w:val="0"/>
          <w:strike w:val="0"/>
          <w:sz w:val="16"/>
          <w:u w:val="none"/>
        </w:rPr>
        <w:t xml:space="preserve"> </w:t>
      </w:r>
      <w:r>
        <w:rPr>
          <w:b w:val="0"/>
          <w:i w:val="0"/>
          <w:smallCaps w:val="0"/>
          <w:strike w:val="0"/>
          <w:sz w:val="16"/>
          <w:u w:val="none"/>
        </w:rPr>
        <w:t xml:space="preserve">The </w:t>
      </w:r>
      <w:r>
        <w:rPr>
          <w:b w:val="0"/>
          <w:i w:val="0"/>
          <w:smallCaps w:val="0"/>
          <w:strike w:val="0"/>
          <w:sz w:val="22"/>
          <w:u w:val="single"/>
        </w:rPr>
        <w:t>companies are Alphabet Inc., Amazon.com Inc., Anthropic PBC, Microsoft Corp. and OpenAI Inc.</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