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Biden revitalized DOJ and FTC capabilities---ensures monopoly crackdown. </w:t>
      </w:r>
    </w:p>
    <w:p>
      <w:pPr>
        <w:spacing w:after="80"/>
      </w:pPr>
      <w:r>
        <w:rPr>
          <w:b/>
          <w:i w:val="0"/>
          <w:smallCaps w:val="0"/>
          <w:strike w:val="0"/>
          <w:sz w:val="26"/>
          <w:u w:val="none"/>
        </w:rPr>
        <w:t>Norris 23</w:t>
      </w:r>
      <w:r>
        <w:rPr>
          <w:b w:val="0"/>
          <w:i w:val="0"/>
          <w:smallCaps w:val="0"/>
          <w:strike w:val="0"/>
          <w:u w:val="none"/>
        </w:rPr>
        <w:t xml:space="preserve"> [Will Norris graduated from the Columbia University Graduate School of Journalism, 10-29-2023, “Winning the Anti-monopoly Game,” Washington Monthly, </w:t>
      </w:r>
      <w:r>
        <w:rPr>
          <w:b w:val="0"/>
          <w:i w:val="0"/>
          <w:smallCaps w:val="0"/>
          <w:strike w:val="0"/>
          <w:u w:val="none"/>
        </w:rPr>
        <w:t>, Accessed 7-5-2024]//</w:t>
      </w:r>
      <w:r>
        <w:rPr>
          <w:b w:val="0"/>
          <w:i w:val="0"/>
          <w:smallCaps w:val="0"/>
          <w:strike w:val="0"/>
          <w:u w:val="none"/>
        </w:rPr>
        <w:t>dedeepya</w:t>
      </w:r>
    </w:p>
    <w:p>
      <w:pPr>
        <w:spacing w:after="60"/>
      </w:pPr>
      <w:r>
        <w:rPr>
          <w:b w:val="0"/>
          <w:i w:val="0"/>
          <w:smallCaps w:val="0"/>
          <w:strike w:val="0"/>
          <w:sz w:val="16"/>
          <w:u w:val="none"/>
        </w:rPr>
        <w:t xml:space="preserve">And it’s not just merger cases. The </w:t>
      </w:r>
      <w:r>
        <w:rPr>
          <w:b w:val="0"/>
          <w:i w:val="0"/>
          <w:smallCaps w:val="0"/>
          <w:strike w:val="0"/>
          <w:sz w:val="22"/>
          <w:u w:val="single"/>
        </w:rPr>
        <w:t xml:space="preserve">agency announced its intention to </w:t>
      </w:r>
      <w:r>
        <w:rPr>
          <w:b/>
          <w:i w:val="0"/>
          <w:smallCaps w:val="0"/>
          <w:strike w:val="0"/>
          <w:sz w:val="22"/>
          <w:u w:val="single"/>
        </w:rPr>
        <w:t>more aggressively</w:t>
      </w:r>
      <w:r>
        <w:rPr>
          <w:b w:val="0"/>
          <w:i w:val="0"/>
          <w:smallCaps w:val="0"/>
          <w:strike w:val="0"/>
          <w:sz w:val="22"/>
          <w:u w:val="single"/>
        </w:rPr>
        <w:t xml:space="preserve"> enforce the Clayton Act’s prohibition</w:t>
      </w:r>
      <w:r>
        <w:rPr>
          <w:b w:val="0"/>
          <w:i w:val="0"/>
          <w:smallCaps w:val="0"/>
          <w:strike w:val="0"/>
          <w:sz w:val="16"/>
          <w:u w:val="none"/>
        </w:rPr>
        <w:t xml:space="preserve"> on directors serving simultaneously on the boards of competitors, leading to the resignation of board directors in several industries. “The </w:t>
      </w:r>
      <w:r>
        <w:rPr>
          <w:b/>
          <w:i w:val="0"/>
          <w:smallCaps w:val="0"/>
          <w:strike w:val="0"/>
          <w:sz w:val="22"/>
          <w:u w:val="single"/>
        </w:rPr>
        <w:t>DOJ</w:t>
      </w:r>
      <w:r>
        <w:rPr>
          <w:b w:val="0"/>
          <w:i w:val="0"/>
          <w:smallCaps w:val="0"/>
          <w:strike w:val="0"/>
          <w:sz w:val="22"/>
          <w:u w:val="single"/>
        </w:rPr>
        <w:t xml:space="preserve"> making this a priority is a big step and </w:t>
      </w:r>
      <w:r>
        <w:rPr>
          <w:b/>
          <w:i w:val="0"/>
          <w:smallCaps w:val="0"/>
          <w:strike w:val="0"/>
          <w:sz w:val="22"/>
          <w:u w:val="single"/>
        </w:rPr>
        <w:t>consistent</w:t>
      </w:r>
      <w:r>
        <w:rPr>
          <w:b w:val="0"/>
          <w:i w:val="0"/>
          <w:smallCaps w:val="0"/>
          <w:strike w:val="0"/>
          <w:sz w:val="22"/>
          <w:u w:val="single"/>
        </w:rPr>
        <w:t xml:space="preserve"> with the broader theme of </w:t>
      </w:r>
      <w:r>
        <w:rPr>
          <w:b/>
          <w:i w:val="0"/>
          <w:smallCaps w:val="0"/>
          <w:strike w:val="0"/>
          <w:sz w:val="22"/>
          <w:u w:val="single"/>
        </w:rPr>
        <w:t>reviving dormant legal powers</w:t>
      </w:r>
      <w:r>
        <w:rPr>
          <w:b w:val="0"/>
          <w:i w:val="0"/>
          <w:smallCaps w:val="0"/>
          <w:strike w:val="0"/>
          <w:sz w:val="16"/>
          <w:u w:val="none"/>
        </w:rPr>
        <w:t>,” Sandeep Vaheesan of the Open Markets Institute (OMI) said. During Obama’s first term, the USDA unsuccessfully tried to challenge the poultry industry’s abusive “tournament system,” which pits chicken farmers against each other to compete for bids and undercuts their bargaining power. But last summer, a DOJ lawsuit against the food production conglomerate Cargill, several competitors, and a data consulting firm alleging years of collusion and wage suppression ended in an $85 million settlement, effectively ending the practice across much of the industry.</w:t>
      </w:r>
    </w:p>
    <w:p>
      <w:pPr>
        <w:spacing w:after="60"/>
      </w:pPr>
      <w:r>
        <w:rPr>
          <w:b w:val="0"/>
          <w:i w:val="0"/>
          <w:smallCaps w:val="0"/>
          <w:strike w:val="0"/>
          <w:sz w:val="22"/>
          <w:u w:val="single"/>
        </w:rPr>
        <w:t>Kanter</w:t>
      </w:r>
      <w:r>
        <w:rPr>
          <w:b w:val="0"/>
          <w:i w:val="0"/>
          <w:smallCaps w:val="0"/>
          <w:strike w:val="0"/>
          <w:sz w:val="16"/>
          <w:u w:val="none"/>
        </w:rPr>
        <w:t xml:space="preserve"> has also </w:t>
      </w:r>
      <w:r>
        <w:rPr>
          <w:b w:val="0"/>
          <w:i w:val="0"/>
          <w:smallCaps w:val="0"/>
          <w:strike w:val="0"/>
          <w:sz w:val="22"/>
          <w:u w:val="single"/>
        </w:rPr>
        <w:t>initiated</w:t>
      </w:r>
      <w:r>
        <w:rPr>
          <w:b w:val="0"/>
          <w:i w:val="0"/>
          <w:smallCaps w:val="0"/>
          <w:strike w:val="0"/>
          <w:sz w:val="16"/>
          <w:u w:val="none"/>
        </w:rPr>
        <w:t xml:space="preserve"> a half-dozen criminal </w:t>
      </w:r>
      <w:r>
        <w:rPr>
          <w:b/>
          <w:i w:val="0"/>
          <w:smallCaps w:val="0"/>
          <w:strike w:val="0"/>
          <w:sz w:val="22"/>
          <w:u w:val="single"/>
        </w:rPr>
        <w:t>investigations</w:t>
      </w:r>
      <w:r>
        <w:rPr>
          <w:b w:val="0"/>
          <w:i w:val="0"/>
          <w:smallCaps w:val="0"/>
          <w:strike w:val="0"/>
          <w:sz w:val="22"/>
          <w:u w:val="single"/>
        </w:rPr>
        <w:t xml:space="preserve"> against no-poach and wage-fixing agreement</w:t>
      </w:r>
      <w:r>
        <w:rPr>
          <w:b w:val="0"/>
          <w:i w:val="0"/>
          <w:smallCaps w:val="0"/>
          <w:strike w:val="0"/>
          <w:sz w:val="16"/>
          <w:u w:val="none"/>
        </w:rPr>
        <w:t>s, which illegally block workers from changing jobs in their industry. In October 2022, the DOJ won the first-ever conviction under antitrust law for employer collusion when the staffing firm VDA pleaded guilty to a conspiracy with another firm to refrain from recruiting or hiring each other’s nurses. Several other cases have ended in acquittals, but as with lawsuits against mergers, t</w:t>
      </w:r>
      <w:r>
        <w:rPr>
          <w:b w:val="0"/>
          <w:i w:val="0"/>
          <w:smallCaps w:val="0"/>
          <w:strike w:val="0"/>
          <w:sz w:val="22"/>
          <w:u w:val="single"/>
        </w:rPr>
        <w:t xml:space="preserve">he message is being heard in the business world: Antitrust enforcers are taking </w:t>
      </w:r>
      <w:r>
        <w:rPr>
          <w:b/>
          <w:i w:val="0"/>
          <w:smallCaps w:val="0"/>
          <w:strike w:val="0"/>
          <w:sz w:val="22"/>
          <w:u w:val="single"/>
        </w:rPr>
        <w:t>labor violations</w:t>
      </w:r>
      <w:r>
        <w:rPr>
          <w:b w:val="0"/>
          <w:i w:val="0"/>
          <w:smallCaps w:val="0"/>
          <w:strike w:val="0"/>
          <w:sz w:val="22"/>
          <w:u w:val="single"/>
        </w:rPr>
        <w:t xml:space="preserve"> seriously again. </w:t>
      </w:r>
    </w:p>
    <w:p>
      <w:pPr>
        <w:spacing w:after="60"/>
      </w:pPr>
      <w:r>
        <w:rPr>
          <w:b w:val="0"/>
          <w:i w:val="0"/>
          <w:smallCaps w:val="0"/>
          <w:strike w:val="0"/>
          <w:sz w:val="16"/>
          <w:u w:val="none"/>
        </w:rPr>
        <w:t xml:space="preserve">More than just litigating antitrust cases, </w:t>
      </w:r>
      <w:r>
        <w:rPr>
          <w:b/>
          <w:i w:val="0"/>
          <w:smallCaps w:val="0"/>
          <w:strike w:val="0"/>
          <w:sz w:val="22"/>
          <w:u w:val="single"/>
        </w:rPr>
        <w:t>Biden’s administration</w:t>
      </w:r>
      <w:r>
        <w:rPr>
          <w:b w:val="0"/>
          <w:i w:val="0"/>
          <w:smallCaps w:val="0"/>
          <w:strike w:val="0"/>
          <w:sz w:val="22"/>
          <w:u w:val="single"/>
        </w:rPr>
        <w:t xml:space="preserve"> has reoriented the </w:t>
      </w:r>
      <w:r>
        <w:rPr>
          <w:b/>
          <w:i w:val="0"/>
          <w:smallCaps w:val="0"/>
          <w:strike w:val="0"/>
          <w:sz w:val="22"/>
          <w:u w:val="single"/>
        </w:rPr>
        <w:t>entire government</w:t>
      </w:r>
      <w:r>
        <w:rPr>
          <w:b w:val="0"/>
          <w:i w:val="0"/>
          <w:smallCaps w:val="0"/>
          <w:strike w:val="0"/>
          <w:sz w:val="22"/>
          <w:u w:val="single"/>
        </w:rPr>
        <w:t xml:space="preserve"> toward making the economy fairer and more competitive</w:t>
      </w:r>
      <w:r>
        <w:rPr>
          <w:b w:val="0"/>
          <w:i w:val="0"/>
          <w:smallCaps w:val="0"/>
          <w:strike w:val="0"/>
          <w:sz w:val="16"/>
          <w:u w:val="none"/>
        </w:rPr>
        <w:t>. Biden’s policy program is designed to check monopoly and restructure competition in labor and other markets to public purposes.</w:t>
      </w:r>
    </w:p>
    <w:p>
      <w:pPr>
        <w:spacing w:after="60"/>
      </w:pPr>
      <w:r>
        <w:rPr>
          <w:b w:val="0"/>
          <w:i w:val="0"/>
          <w:smallCaps w:val="0"/>
          <w:strike w:val="0"/>
          <w:sz w:val="22"/>
          <w:u w:val="single"/>
        </w:rPr>
        <w:t xml:space="preserve">The </w:t>
      </w:r>
      <w:r>
        <w:rPr>
          <w:b/>
          <w:i w:val="0"/>
          <w:smallCaps w:val="0"/>
          <w:strike w:val="0"/>
          <w:sz w:val="22"/>
          <w:u w:val="single"/>
        </w:rPr>
        <w:t>FTC</w:t>
      </w:r>
      <w:r>
        <w:rPr>
          <w:b w:val="0"/>
          <w:i w:val="0"/>
          <w:smallCaps w:val="0"/>
          <w:strike w:val="0"/>
          <w:sz w:val="22"/>
          <w:u w:val="single"/>
        </w:rPr>
        <w:t xml:space="preserve"> likewise has filed far more </w:t>
      </w:r>
      <w:r>
        <w:rPr>
          <w:b/>
          <w:i w:val="0"/>
          <w:smallCaps w:val="0"/>
          <w:strike w:val="0"/>
          <w:sz w:val="22"/>
          <w:u w:val="single"/>
        </w:rPr>
        <w:t>ambitious antitrust lawsuits</w:t>
      </w:r>
      <w:r>
        <w:rPr>
          <w:b w:val="0"/>
          <w:i w:val="0"/>
          <w:smallCaps w:val="0"/>
          <w:strike w:val="0"/>
          <w:sz w:val="22"/>
          <w:u w:val="single"/>
        </w:rPr>
        <w:t xml:space="preserve"> than it did under </w:t>
      </w:r>
      <w:r>
        <w:rPr>
          <w:b/>
          <w:i w:val="0"/>
          <w:smallCaps w:val="0"/>
          <w:strike w:val="0"/>
          <w:sz w:val="22"/>
          <w:u w:val="single"/>
        </w:rPr>
        <w:t>previous administrations</w:t>
      </w:r>
      <w:r>
        <w:rPr>
          <w:b w:val="0"/>
          <w:i w:val="0"/>
          <w:smallCaps w:val="0"/>
          <w:strike w:val="0"/>
          <w:sz w:val="16"/>
          <w:u w:val="none"/>
        </w:rPr>
        <w:t xml:space="preserve">. </w:t>
      </w:r>
      <w:r>
        <w:rPr>
          <w:b w:val="0"/>
          <w:i w:val="0"/>
          <w:smallCaps w:val="0"/>
          <w:strike w:val="0"/>
          <w:sz w:val="22"/>
          <w:u w:val="single"/>
        </w:rPr>
        <w:t>Khan has said that to win, the government</w:t>
      </w:r>
      <w:r>
        <w:rPr>
          <w:b w:val="0"/>
          <w:i w:val="0"/>
          <w:smallCaps w:val="0"/>
          <w:strike w:val="0"/>
          <w:sz w:val="22"/>
          <w:u w:val="single"/>
        </w:rPr>
        <w:t xml:space="preserve"> must be willing to lose, </w:t>
      </w:r>
      <w:r>
        <w:rPr>
          <w:b/>
          <w:i w:val="0"/>
          <w:smallCaps w:val="0"/>
          <w:strike w:val="0"/>
          <w:sz w:val="22"/>
          <w:u w:val="single"/>
        </w:rPr>
        <w:t>eschewing</w:t>
      </w:r>
      <w:r>
        <w:rPr>
          <w:b w:val="0"/>
          <w:i w:val="0"/>
          <w:smallCaps w:val="0"/>
          <w:strike w:val="0"/>
          <w:sz w:val="22"/>
          <w:u w:val="single"/>
        </w:rPr>
        <w:t xml:space="preserve"> the extreme </w:t>
      </w:r>
      <w:r>
        <w:rPr>
          <w:b/>
          <w:i w:val="0"/>
          <w:smallCaps w:val="0"/>
          <w:strike w:val="0"/>
          <w:sz w:val="22"/>
          <w:u w:val="single"/>
        </w:rPr>
        <w:t>caution</w:t>
      </w:r>
      <w:r>
        <w:rPr>
          <w:b w:val="0"/>
          <w:i w:val="0"/>
          <w:smallCaps w:val="0"/>
          <w:strike w:val="0"/>
          <w:sz w:val="22"/>
          <w:u w:val="single"/>
        </w:rPr>
        <w:t xml:space="preserve"> of her predecessors</w:t>
      </w:r>
      <w:r>
        <w:rPr>
          <w:b w:val="0"/>
          <w:i w:val="0"/>
          <w:smallCaps w:val="0"/>
          <w:strike w:val="0"/>
          <w:sz w:val="16"/>
          <w:u w:val="none"/>
        </w:rPr>
        <w:t xml:space="preserve">. But there’s been less losing than media coverage would lead you to believe. Khan’s two oft-referenced defeats in court—the failed lawsuits against Microsoft’s acquisition of Activision and Meta’s acquisition of Within—are in fact the FTC’s only clear losses. The </w:t>
      </w:r>
      <w:r>
        <w:rPr>
          <w:b w:val="0"/>
          <w:i w:val="0"/>
          <w:smallCaps w:val="0"/>
          <w:strike w:val="0"/>
          <w:sz w:val="22"/>
          <w:u w:val="single"/>
        </w:rPr>
        <w:t xml:space="preserve">agency has secured </w:t>
      </w:r>
      <w:r>
        <w:rPr>
          <w:b/>
          <w:i w:val="0"/>
          <w:smallCaps w:val="0"/>
          <w:strike w:val="0"/>
          <w:sz w:val="22"/>
          <w:u w:val="single"/>
        </w:rPr>
        <w:t>important wins</w:t>
      </w:r>
      <w:r>
        <w:rPr>
          <w:b w:val="0"/>
          <w:i w:val="0"/>
          <w:smallCaps w:val="0"/>
          <w:strike w:val="0"/>
          <w:sz w:val="22"/>
          <w:u w:val="single"/>
        </w:rPr>
        <w:t xml:space="preserve"> in court, </w:t>
      </w:r>
      <w:r>
        <w:rPr>
          <w:b w:val="0"/>
          <w:i w:val="0"/>
          <w:smallCaps w:val="0"/>
          <w:strike w:val="0"/>
          <w:sz w:val="16"/>
          <w:u w:val="none"/>
        </w:rPr>
        <w:t xml:space="preserve">including a recent ruling against Intuit for falsely advertising its signature product, TurboTax, as free. The </w:t>
      </w:r>
      <w:r>
        <w:rPr>
          <w:b/>
          <w:i w:val="0"/>
          <w:smallCaps w:val="0"/>
          <w:strike w:val="0"/>
          <w:sz w:val="22"/>
          <w:u w:val="single"/>
        </w:rPr>
        <w:t>FTC</w:t>
      </w:r>
      <w:r>
        <w:rPr>
          <w:b w:val="0"/>
          <w:i w:val="0"/>
          <w:smallCaps w:val="0"/>
          <w:strike w:val="0"/>
          <w:sz w:val="22"/>
          <w:u w:val="single"/>
        </w:rPr>
        <w:t xml:space="preserve"> has also extracted settlements that prevent abusive business practices, such as one with</w:t>
      </w:r>
      <w:r>
        <w:rPr>
          <w:b w:val="0"/>
          <w:i w:val="0"/>
          <w:smallCaps w:val="0"/>
          <w:strike w:val="0"/>
          <w:sz w:val="16"/>
          <w:u w:val="none"/>
        </w:rPr>
        <w:t xml:space="preserve"> the health information technology company </w:t>
      </w:r>
      <w:r>
        <w:rPr>
          <w:b w:val="0"/>
          <w:i w:val="0"/>
          <w:smallCaps w:val="0"/>
          <w:strike w:val="0"/>
          <w:sz w:val="22"/>
          <w:u w:val="single"/>
        </w:rPr>
        <w:t>Surescripts</w:t>
      </w:r>
      <w:r>
        <w:rPr>
          <w:b w:val="0"/>
          <w:i w:val="0"/>
          <w:smallCaps w:val="0"/>
          <w:strike w:val="0"/>
          <w:sz w:val="16"/>
          <w:u w:val="none"/>
        </w:rPr>
        <w:t xml:space="preserve"> that prohibits the firm from excluding competitors from e-prescribing markets. </w:t>
      </w:r>
      <w:r>
        <w:rPr>
          <w:b w:val="0"/>
          <w:i w:val="0"/>
          <w:smallCaps w:val="0"/>
          <w:strike w:val="0"/>
          <w:sz w:val="22"/>
          <w:u w:val="single"/>
        </w:rPr>
        <w:t xml:space="preserve">And </w:t>
      </w:r>
      <w:r>
        <w:rPr>
          <w:b/>
          <w:i w:val="0"/>
          <w:smallCaps w:val="0"/>
          <w:strike w:val="0"/>
          <w:sz w:val="22"/>
          <w:u w:val="single"/>
        </w:rPr>
        <w:t>many cases</w:t>
      </w:r>
      <w:r>
        <w:rPr>
          <w:b w:val="0"/>
          <w:i w:val="0"/>
          <w:smallCaps w:val="0"/>
          <w:strike w:val="0"/>
          <w:sz w:val="22"/>
          <w:u w:val="single"/>
        </w:rPr>
        <w:t xml:space="preserve"> have concluded in companies </w:t>
      </w:r>
      <w:r>
        <w:rPr>
          <w:b/>
          <w:i w:val="0"/>
          <w:smallCaps w:val="0"/>
          <w:strike w:val="0"/>
          <w:sz w:val="22"/>
          <w:u w:val="single"/>
        </w:rPr>
        <w:t>dropping a merger</w:t>
      </w:r>
      <w:r>
        <w:rPr>
          <w:b w:val="0"/>
          <w:i w:val="0"/>
          <w:smallCaps w:val="0"/>
          <w:strike w:val="0"/>
          <w:sz w:val="22"/>
          <w:u w:val="single"/>
        </w:rPr>
        <w:t xml:space="preserve"> after being sued by the FTC.</w:t>
      </w:r>
      <w:r>
        <w:rPr>
          <w:b w:val="0"/>
          <w:i w:val="0"/>
          <w:smallCaps w:val="0"/>
          <w:strike w:val="0"/>
          <w:sz w:val="16"/>
          <w:u w:val="none"/>
        </w:rPr>
        <w:t xml:space="preserve"> Under the threat of litigation, the computer chip maker Nvidia called off its $40 billion acquisition of the chip design firm Arm; Lockheed Martin dropped its $4.4 billion purchase of the engine maker Aerojet Rocketdyne; and Berkshire Hathaway called off its $1.7 billion purchase of a pipeline in Utah, to name a few. </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