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doesn’t matter—it’s been cut against since </w:t>
      </w:r>
      <w:r>
        <w:rPr>
          <w:b/>
          <w:i w:val="0"/>
          <w:smallCaps w:val="0"/>
          <w:strike w:val="0"/>
          <w:sz w:val="26"/>
          <w:u w:val="none"/>
        </w:rPr>
        <w:t>obama</w:t>
      </w:r>
      <w:r>
        <w:rPr>
          <w:b/>
          <w:i w:val="0"/>
          <w:smallCaps w:val="0"/>
          <w:strike w:val="0"/>
          <w:sz w:val="26"/>
          <w:u w:val="none"/>
        </w:rPr>
        <w:t xml:space="preserve">. </w:t>
      </w:r>
    </w:p>
    <w:p>
      <w:pPr>
        <w:spacing w:after="80"/>
      </w:pPr>
      <w:r>
        <w:rPr>
          <w:b/>
          <w:i w:val="0"/>
          <w:smallCaps w:val="0"/>
          <w:strike w:val="0"/>
          <w:u w:val="none"/>
        </w:rPr>
        <w:t xml:space="preserve">Feiner 6/28 </w:t>
      </w:r>
      <w:r>
        <w:rPr>
          <w:b w:val="0"/>
          <w:i w:val="0"/>
          <w:smallCaps w:val="0"/>
          <w:strike w:val="0"/>
          <w:sz w:val="16"/>
          <w:u w:val="none"/>
        </w:rPr>
        <w:t xml:space="preserve">(Lauren Feiner is a </w:t>
      </w:r>
      <w:r>
        <w:rPr>
          <w:b w:val="0"/>
          <w:i w:val="0"/>
          <w:smallCaps w:val="0"/>
          <w:strike w:val="0"/>
          <w:sz w:val="16"/>
          <w:u w:val="none"/>
        </w:rPr>
        <w:t>Senior Policy Reporter at The Verge</w:t>
      </w:r>
      <w:r>
        <w:rPr>
          <w:b w:val="0"/>
          <w:i w:val="0"/>
          <w:smallCaps w:val="0"/>
          <w:strike w:val="0"/>
          <w:sz w:val="16"/>
          <w:u w:val="none"/>
        </w:rPr>
        <w:t xml:space="preserve">, </w:t>
      </w:r>
      <w:r>
        <w:rPr>
          <w:b w:val="0"/>
          <w:i w:val="0"/>
          <w:smallCaps w:val="0"/>
          <w:strike w:val="0"/>
          <w:sz w:val="16"/>
          <w:u w:val="none"/>
        </w:rPr>
        <w:t>What SCOTUS just did to broadband, the right to repair, the environment, and more</w:t>
      </w:r>
      <w:r>
        <w:rPr>
          <w:b w:val="0"/>
          <w:i w:val="0"/>
          <w:smallCaps w:val="0"/>
          <w:strike w:val="0"/>
          <w:sz w:val="16"/>
          <w:u w:val="none"/>
        </w:rPr>
        <w:t xml:space="preserve">, </w:t>
      </w:r>
      <w:r>
        <w:rPr>
          <w:b w:val="0"/>
          <w:i w:val="0"/>
          <w:smallCaps w:val="0"/>
          <w:strike w:val="0"/>
          <w:sz w:val="16"/>
          <w:u w:val="none"/>
        </w:rPr>
        <w:t>https://www.theverge.com/24188365/chevron-scotus-net-neutrality-dmca-visa-fcc-ftc-epa</w:t>
      </w:r>
      <w:r>
        <w:rPr>
          <w:b w:val="0"/>
          <w:i w:val="0"/>
          <w:smallCaps w:val="0"/>
          <w:strike w:val="0"/>
          <w:sz w:val="16"/>
          <w:u w:val="none"/>
        </w:rPr>
        <w:t xml:space="preserve">, </w:t>
      </w:r>
      <w:r>
        <w:rPr>
          <w:b w:val="0"/>
          <w:i/>
          <w:smallCaps w:val="0"/>
          <w:strike w:val="0"/>
          <w:sz w:val="16"/>
          <w:u w:val="none"/>
        </w:rPr>
        <w:t>The Verge</w:t>
      </w:r>
      <w:r>
        <w:rPr>
          <w:b w:val="0"/>
          <w:i w:val="0"/>
          <w:smallCaps w:val="0"/>
          <w:strike w:val="0"/>
          <w:sz w:val="16"/>
          <w:u w:val="none"/>
        </w:rPr>
        <w:t xml:space="preserve">, 6-28-24---gm) </w:t>
      </w:r>
    </w:p>
    <w:p>
      <w:pPr>
        <w:spacing w:after="60"/>
      </w:pPr>
      <w:r>
        <w:rPr>
          <w:b w:val="0"/>
          <w:i w:val="0"/>
          <w:smallCaps w:val="0"/>
          <w:strike w:val="0"/>
          <w:sz w:val="22"/>
          <w:highlight w:val="cyan"/>
          <w:u w:val="single"/>
        </w:rPr>
        <w:t>Khan’s</w:t>
      </w:r>
      <w:r>
        <w:rPr>
          <w:b w:val="0"/>
          <w:i w:val="0"/>
          <w:smallCaps w:val="0"/>
          <w:strike w:val="0"/>
          <w:sz w:val="22"/>
          <w:u w:val="single"/>
        </w:rPr>
        <w:t xml:space="preserve"> methods have drawn intense criticism from the business community,</w:t>
      </w:r>
      <w:r>
        <w:rPr>
          <w:b w:val="0"/>
          <w:i w:val="0"/>
          <w:smallCaps w:val="0"/>
          <w:strike w:val="0"/>
          <w:sz w:val="16"/>
          <w:u w:val="none"/>
        </w:rPr>
        <w:t xml:space="preserve"> most recently with the agency’s labor-friendly rulemaking banning noncompete agreements in employment contracts. </w:t>
      </w:r>
      <w:r>
        <w:rPr>
          <w:b w:val="0"/>
          <w:i w:val="0"/>
          <w:smallCaps w:val="0"/>
          <w:strike w:val="0"/>
          <w:u w:val="single"/>
        </w:rPr>
        <w:t xml:space="preserve">That </w:t>
      </w:r>
      <w:r>
        <w:rPr>
          <w:b w:val="0"/>
          <w:i w:val="0"/>
          <w:smallCaps w:val="0"/>
          <w:strike w:val="0"/>
          <w:highlight w:val="cyan"/>
          <w:u w:val="single"/>
        </w:rPr>
        <w:t>action relies on the FTC’s interpretation</w:t>
      </w:r>
      <w:r>
        <w:rPr>
          <w:b w:val="0"/>
          <w:i w:val="0"/>
          <w:smallCaps w:val="0"/>
          <w:strike w:val="0"/>
          <w:u w:val="single"/>
        </w:rPr>
        <w:t xml:space="preserve"> of its </w:t>
      </w:r>
      <w:r>
        <w:rPr>
          <w:b/>
          <w:i w:val="0"/>
          <w:smallCaps w:val="0"/>
          <w:strike w:val="0"/>
          <w:u w:val="single"/>
        </w:rPr>
        <w:t xml:space="preserve">authority to allow it to </w:t>
      </w:r>
      <w:r>
        <w:rPr>
          <w:b/>
          <w:i w:val="0"/>
          <w:smallCaps w:val="0"/>
          <w:strike w:val="0"/>
          <w:u w:val="single"/>
        </w:rPr>
        <w:t>take action</w:t>
      </w:r>
      <w:r>
        <w:rPr>
          <w:b w:val="0"/>
          <w:i w:val="0"/>
          <w:smallCaps w:val="0"/>
          <w:strike w:val="0"/>
          <w:u w:val="single"/>
        </w:rPr>
        <w:t xml:space="preserve"> in this area — the kind of thing that brings up questions about agency deference. </w:t>
      </w:r>
    </w:p>
    <w:p>
      <w:pPr>
        <w:spacing w:after="60"/>
      </w:pPr>
      <w:r>
        <w:rPr>
          <w:b w:val="0"/>
          <w:i w:val="0"/>
          <w:smallCaps w:val="0"/>
          <w:strike w:val="0"/>
          <w:sz w:val="16"/>
          <w:u w:val="none"/>
        </w:rPr>
        <w:t xml:space="preserve">But </w:t>
      </w:r>
      <w:r>
        <w:rPr>
          <w:b w:val="0"/>
          <w:i w:val="0"/>
          <w:smallCaps w:val="0"/>
          <w:strike w:val="0"/>
          <w:highlight w:val="cyan"/>
          <w:u w:val="single"/>
        </w:rPr>
        <w:t xml:space="preserve">the FTC has already had to contend </w:t>
      </w:r>
      <w:r>
        <w:rPr>
          <w:b/>
          <w:i w:val="0"/>
          <w:smallCaps w:val="0"/>
          <w:strike w:val="0"/>
          <w:highlight w:val="cyan"/>
          <w:u w:val="single"/>
        </w:rPr>
        <w:t xml:space="preserve">with trends cutting away </w:t>
      </w:r>
      <w:r>
        <w:rPr>
          <w:b w:val="0"/>
          <w:i w:val="0"/>
          <w:smallCaps w:val="0"/>
          <w:strike w:val="0"/>
          <w:highlight w:val="cyan"/>
          <w:u w:val="single"/>
        </w:rPr>
        <w:t>a</w:t>
      </w:r>
      <w:r>
        <w:rPr>
          <w:b w:val="0"/>
          <w:i w:val="0"/>
          <w:smallCaps w:val="0"/>
          <w:strike w:val="0"/>
          <w:u w:val="single"/>
        </w:rPr>
        <w:t>t</w:t>
      </w:r>
      <w:r>
        <w:rPr>
          <w:b w:val="0"/>
          <w:i w:val="0"/>
          <w:smallCaps w:val="0"/>
          <w:strike w:val="0"/>
          <w:u w:val="single"/>
        </w:rPr>
        <w:t xml:space="preserve"> agency </w:t>
      </w:r>
      <w:r>
        <w:rPr>
          <w:b w:val="0"/>
          <w:i w:val="0"/>
          <w:smallCaps w:val="0"/>
          <w:strike w:val="0"/>
          <w:highlight w:val="cyan"/>
          <w:u w:val="single"/>
        </w:rPr>
        <w:t>deference</w:t>
      </w:r>
      <w:r>
        <w:rPr>
          <w:b w:val="0"/>
          <w:i w:val="0"/>
          <w:smallCaps w:val="0"/>
          <w:strike w:val="0"/>
          <w:u w:val="single"/>
        </w:rPr>
        <w:t xml:space="preserve"> for quite some time.</w:t>
      </w:r>
      <w:r>
        <w:rPr>
          <w:b w:val="0"/>
          <w:i w:val="0"/>
          <w:smallCaps w:val="0"/>
          <w:strike w:val="0"/>
          <w:sz w:val="16"/>
          <w:u w:val="none"/>
        </w:rPr>
        <w:t xml:space="preserve"> For example, the noncompete rulemaking is already facing scrutiny under the major questions doctrine, which is cited in the US Chamber of Commerce’s challenge. It’s a principle that’s shown up in Supreme Court cases that basically says Congress must grant clear authority for questions of great political or economic significance. </w:t>
      </w:r>
      <w:r>
        <w:rPr>
          <w:b w:val="0"/>
          <w:i w:val="0"/>
          <w:smallCaps w:val="0"/>
          <w:strike w:val="0"/>
          <w:u w:val="single"/>
        </w:rPr>
        <w:t>The chamber argues in its lawsuit to block the FTC noncompete rule that the Supreme Court has invoked the major questions Doctrine “to reject similar attempts by administrative agencies to take unprecedented actions with vast economic and political significance based on nothing more than ambiguous and ancillary statutory text—particularly where the agency has never before pointed to that text as a font of regulatory power.”</w:t>
      </w:r>
    </w:p>
    <w:p>
      <w:pPr>
        <w:spacing w:after="60"/>
      </w:pPr>
      <w:r>
        <w:rPr>
          <w:b w:val="0"/>
          <w:i w:val="0"/>
          <w:smallCaps w:val="0"/>
          <w:strike w:val="0"/>
          <w:sz w:val="16"/>
          <w:u w:val="none"/>
        </w:rPr>
        <w:t xml:space="preserve">“The </w:t>
      </w:r>
      <w:r>
        <w:rPr>
          <w:b w:val="0"/>
          <w:i w:val="0"/>
          <w:smallCaps w:val="0"/>
          <w:strike w:val="0"/>
          <w:highlight w:val="cyan"/>
          <w:u w:val="single"/>
        </w:rPr>
        <w:t xml:space="preserve">Supreme Court has taken most of the </w:t>
      </w:r>
      <w:r>
        <w:rPr>
          <w:b/>
          <w:i w:val="0"/>
          <w:smallCaps w:val="0"/>
          <w:strike w:val="0"/>
          <w:highlight w:val="cyan"/>
          <w:u w:val="single"/>
        </w:rPr>
        <w:t>wind out of the sails of Chevron</w:t>
      </w:r>
      <w:r>
        <w:rPr>
          <w:b w:val="0"/>
          <w:i w:val="0"/>
          <w:smallCaps w:val="0"/>
          <w:strike w:val="0"/>
          <w:u w:val="single"/>
        </w:rPr>
        <w:t xml:space="preserve"> with the major questions doctrine, in the sense that </w:t>
      </w:r>
      <w:r>
        <w:rPr>
          <w:b w:val="0"/>
          <w:i w:val="0"/>
          <w:smallCaps w:val="0"/>
          <w:strike w:val="0"/>
          <w:highlight w:val="cyan"/>
          <w:u w:val="single"/>
        </w:rPr>
        <w:t>when an agency enters into a regulatory area that it hasn’t been in</w:t>
      </w:r>
      <w:r>
        <w:rPr>
          <w:b w:val="0"/>
          <w:i w:val="0"/>
          <w:smallCaps w:val="0"/>
          <w:strike w:val="0"/>
          <w:u w:val="single"/>
        </w:rPr>
        <w:t xml:space="preserve"> before, the </w:t>
      </w:r>
      <w:r>
        <w:rPr>
          <w:b w:val="0"/>
          <w:i w:val="0"/>
          <w:smallCaps w:val="0"/>
          <w:strike w:val="0"/>
          <w:highlight w:val="cyan"/>
          <w:u w:val="single"/>
        </w:rPr>
        <w:t>Supreme Court</w:t>
      </w:r>
      <w:r>
        <w:rPr>
          <w:b w:val="0"/>
          <w:i w:val="0"/>
          <w:smallCaps w:val="0"/>
          <w:strike w:val="0"/>
          <w:u w:val="single"/>
        </w:rPr>
        <w:t xml:space="preserve"> </w:t>
      </w:r>
      <w:r>
        <w:rPr>
          <w:b w:val="0"/>
          <w:i w:val="0"/>
          <w:smallCaps w:val="0"/>
          <w:strike w:val="0"/>
          <w:highlight w:val="cyan"/>
          <w:u w:val="single"/>
        </w:rPr>
        <w:t>has created a</w:t>
      </w:r>
      <w:r>
        <w:rPr>
          <w:b w:val="0"/>
          <w:i w:val="0"/>
          <w:smallCaps w:val="0"/>
          <w:strike w:val="0"/>
          <w:u w:val="single"/>
        </w:rPr>
        <w:t xml:space="preserve"> strong </w:t>
      </w:r>
      <w:r>
        <w:rPr>
          <w:b w:val="0"/>
          <w:i w:val="0"/>
          <w:smallCaps w:val="0"/>
          <w:strike w:val="0"/>
          <w:highlight w:val="cyan"/>
          <w:u w:val="single"/>
        </w:rPr>
        <w:t xml:space="preserve">presumption the agency </w:t>
      </w:r>
      <w:r>
        <w:rPr>
          <w:b/>
          <w:i w:val="0"/>
          <w:smallCaps w:val="0"/>
          <w:strike w:val="0"/>
          <w:highlight w:val="cyan"/>
          <w:u w:val="single"/>
        </w:rPr>
        <w:t>does not have the authority to regulate</w:t>
      </w:r>
      <w:r>
        <w:rPr>
          <w:b/>
          <w:i w:val="0"/>
          <w:smallCaps w:val="0"/>
          <w:strike w:val="0"/>
          <w:sz w:val="16"/>
          <w:u w:val="none"/>
        </w:rPr>
        <w:t>,”</w:t>
      </w:r>
      <w:r>
        <w:rPr>
          <w:b w:val="0"/>
          <w:i w:val="0"/>
          <w:smallCaps w:val="0"/>
          <w:strike w:val="0"/>
          <w:sz w:val="16"/>
          <w:u w:val="none"/>
        </w:rPr>
        <w:t xml:space="preserve"> said Jack Beermann, an administrative law expert and professor at Boston University School of Law. “</w:t>
      </w:r>
      <w:r>
        <w:rPr>
          <w:b w:val="0"/>
          <w:i w:val="0"/>
          <w:smallCaps w:val="0"/>
          <w:strike w:val="0"/>
          <w:u w:val="single"/>
        </w:rPr>
        <w:t xml:space="preserve">And </w:t>
      </w:r>
      <w:r>
        <w:rPr>
          <w:b w:val="0"/>
          <w:i w:val="0"/>
          <w:smallCaps w:val="0"/>
          <w:strike w:val="0"/>
          <w:u w:val="single"/>
        </w:rPr>
        <w:t>so</w:t>
      </w:r>
      <w:r>
        <w:rPr>
          <w:b w:val="0"/>
          <w:i w:val="0"/>
          <w:smallCaps w:val="0"/>
          <w:strike w:val="0"/>
          <w:u w:val="single"/>
        </w:rPr>
        <w:t xml:space="preserve"> Chevron doesn’t enter into the picture in cases like that</w:t>
      </w:r>
      <w:r>
        <w:rPr>
          <w:b w:val="0"/>
          <w:i w:val="0"/>
          <w:smallCaps w:val="0"/>
          <w:strike w:val="0"/>
          <w:sz w:val="16"/>
          <w:u w:val="none"/>
        </w:rPr>
        <w:t>.”</w:t>
      </w:r>
    </w:p>
    <w:p>
      <w:pPr>
        <w:spacing w:after="60"/>
      </w:pPr>
      <w:r>
        <w:rPr>
          <w:b w:val="0"/>
          <w:i w:val="0"/>
          <w:smallCaps w:val="0"/>
          <w:strike w:val="0"/>
          <w:sz w:val="16"/>
          <w:u w:val="none"/>
        </w:rPr>
        <w:t xml:space="preserve">David Vladeck, a professor at Georgetown Law who led the FTC Bureau of Consumer Protection from 2009 to 2012, </w:t>
      </w:r>
      <w:r>
        <w:rPr>
          <w:b w:val="0"/>
          <w:i w:val="0"/>
          <w:smallCaps w:val="0"/>
          <w:strike w:val="0"/>
          <w:u w:val="single"/>
        </w:rPr>
        <w:t>said that “</w:t>
      </w:r>
      <w:r>
        <w:rPr>
          <w:b w:val="0"/>
          <w:i w:val="0"/>
          <w:smallCaps w:val="0"/>
          <w:strike w:val="0"/>
          <w:highlight w:val="cyan"/>
          <w:u w:val="single"/>
        </w:rPr>
        <w:t xml:space="preserve">courts started to </w:t>
      </w:r>
      <w:r>
        <w:rPr>
          <w:b/>
          <w:i w:val="0"/>
          <w:smallCaps w:val="0"/>
          <w:strike w:val="0"/>
          <w:highlight w:val="cyan"/>
          <w:u w:val="single"/>
        </w:rPr>
        <w:t>back off</w:t>
      </w:r>
      <w:r>
        <w:rPr>
          <w:b w:val="0"/>
          <w:i w:val="0"/>
          <w:smallCaps w:val="0"/>
          <w:strike w:val="0"/>
          <w:highlight w:val="cyan"/>
          <w:u w:val="single"/>
        </w:rPr>
        <w:t xml:space="preserve"> of Chevron” during</w:t>
      </w:r>
      <w:r>
        <w:rPr>
          <w:b w:val="0"/>
          <w:i w:val="0"/>
          <w:smallCaps w:val="0"/>
          <w:strike w:val="0"/>
          <w:u w:val="single"/>
        </w:rPr>
        <w:t xml:space="preserve"> the </w:t>
      </w:r>
      <w:r>
        <w:rPr>
          <w:b/>
          <w:i w:val="0"/>
          <w:smallCaps w:val="0"/>
          <w:strike w:val="0"/>
          <w:highlight w:val="cyan"/>
          <w:u w:val="single"/>
        </w:rPr>
        <w:t>Obama</w:t>
      </w:r>
      <w:r>
        <w:rPr>
          <w:b/>
          <w:i w:val="0"/>
          <w:smallCaps w:val="0"/>
          <w:strike w:val="0"/>
          <w:u w:val="single"/>
        </w:rPr>
        <w:t xml:space="preserve"> </w:t>
      </w:r>
      <w:r>
        <w:rPr>
          <w:b w:val="0"/>
          <w:i w:val="0"/>
          <w:smallCaps w:val="0"/>
          <w:strike w:val="0"/>
          <w:u w:val="single"/>
        </w:rPr>
        <w:t>administration, decreasing the utility of citing it as a defense. “As a result</w:t>
      </w:r>
      <w:r>
        <w:rPr>
          <w:b w:val="0"/>
          <w:i w:val="0"/>
          <w:smallCaps w:val="0"/>
          <w:strike w:val="0"/>
          <w:highlight w:val="cyan"/>
          <w:u w:val="single"/>
        </w:rPr>
        <w:t>, lawyers</w:t>
      </w:r>
      <w:r>
        <w:rPr>
          <w:b w:val="0"/>
          <w:i w:val="0"/>
          <w:smallCaps w:val="0"/>
          <w:strike w:val="0"/>
          <w:u w:val="single"/>
        </w:rPr>
        <w:t xml:space="preserve"> like </w:t>
      </w:r>
      <w:r>
        <w:rPr>
          <w:b w:val="0"/>
          <w:i w:val="0"/>
          <w:smallCaps w:val="0"/>
          <w:strike w:val="0"/>
          <w:u w:val="single"/>
        </w:rPr>
        <w:t>myself</w:t>
      </w:r>
      <w:r>
        <w:rPr>
          <w:b w:val="0"/>
          <w:i w:val="0"/>
          <w:smallCaps w:val="0"/>
          <w:strike w:val="0"/>
          <w:u w:val="single"/>
        </w:rPr>
        <w:t xml:space="preserve"> who were representing agencies </w:t>
      </w:r>
      <w:r>
        <w:rPr>
          <w:b w:val="0"/>
          <w:i w:val="0"/>
          <w:smallCaps w:val="0"/>
          <w:strike w:val="0"/>
          <w:highlight w:val="cyan"/>
          <w:u w:val="single"/>
        </w:rPr>
        <w:t xml:space="preserve">would not </w:t>
      </w:r>
      <w:r>
        <w:rPr>
          <w:b/>
          <w:i w:val="0"/>
          <w:smallCaps w:val="0"/>
          <w:strike w:val="0"/>
          <w:highlight w:val="cyan"/>
          <w:u w:val="single"/>
        </w:rPr>
        <w:t>rely on Chevron</w:t>
      </w:r>
      <w:r>
        <w:rPr>
          <w:b w:val="0"/>
          <w:i w:val="0"/>
          <w:smallCaps w:val="0"/>
          <w:strike w:val="0"/>
          <w:u w:val="single"/>
        </w:rPr>
        <w:t xml:space="preserve">, and generally wouldn’t cite it because it wasn’t going to change the balance of the case. But it may signal that you need this </w:t>
      </w:r>
      <w:r>
        <w:rPr>
          <w:b w:val="0"/>
          <w:i w:val="0"/>
          <w:smallCaps w:val="0"/>
          <w:strike w:val="0"/>
          <w:highlight w:val="cyan"/>
          <w:u w:val="single"/>
        </w:rPr>
        <w:t>deference</w:t>
      </w:r>
      <w:r>
        <w:rPr>
          <w:b w:val="0"/>
          <w:i w:val="0"/>
          <w:smallCaps w:val="0"/>
          <w:strike w:val="0"/>
          <w:u w:val="single"/>
        </w:rPr>
        <w:t xml:space="preserve"> </w:t>
      </w:r>
      <w:r>
        <w:rPr>
          <w:b w:val="0"/>
          <w:i w:val="0"/>
          <w:smallCaps w:val="0"/>
          <w:strike w:val="0"/>
          <w:u w:val="single"/>
        </w:rPr>
        <w:t>in order to</w:t>
      </w:r>
      <w:r>
        <w:rPr>
          <w:b w:val="0"/>
          <w:i w:val="0"/>
          <w:smallCaps w:val="0"/>
          <w:strike w:val="0"/>
          <w:u w:val="single"/>
        </w:rPr>
        <w:t xml:space="preserve"> prevail</w:t>
      </w:r>
      <w:r>
        <w:rPr>
          <w:b w:val="0"/>
          <w:i w:val="0"/>
          <w:smallCaps w:val="0"/>
          <w:strike w:val="0"/>
          <w:sz w:val="16"/>
          <w:u w:val="none"/>
        </w:rPr>
        <w:t xml:space="preserve">.” Because of that, the overruling of </w:t>
      </w:r>
      <w:r>
        <w:rPr>
          <w:b w:val="0"/>
          <w:i w:val="0"/>
          <w:smallCaps w:val="0"/>
          <w:strike w:val="0"/>
          <w:sz w:val="22"/>
          <w:u w:val="single"/>
        </w:rPr>
        <w:t xml:space="preserve">Chevron </w:t>
      </w:r>
      <w:r>
        <w:rPr>
          <w:b w:val="0"/>
          <w:i w:val="0"/>
          <w:smallCaps w:val="0"/>
          <w:strike w:val="0"/>
          <w:sz w:val="22"/>
          <w:highlight w:val="cyan"/>
          <w:u w:val="single"/>
        </w:rPr>
        <w:t>could have a</w:t>
      </w:r>
      <w:r>
        <w:rPr>
          <w:b w:val="0"/>
          <w:i w:val="0"/>
          <w:smallCaps w:val="0"/>
          <w:strike w:val="0"/>
          <w:sz w:val="16"/>
          <w:u w:val="none"/>
        </w:rPr>
        <w:t xml:space="preserve"> </w:t>
      </w:r>
      <w:r>
        <w:rPr>
          <w:b w:val="0"/>
          <w:i w:val="0"/>
          <w:smallCaps w:val="0"/>
          <w:strike w:val="0"/>
          <w:u w:val="single"/>
        </w:rPr>
        <w:t xml:space="preserve">more </w:t>
      </w:r>
      <w:r>
        <w:rPr>
          <w:b w:val="0"/>
          <w:i w:val="0"/>
          <w:smallCaps w:val="0"/>
          <w:strike w:val="0"/>
          <w:highlight w:val="cyan"/>
          <w:u w:val="single"/>
        </w:rPr>
        <w:t>muted impact on an agency like the FTC</w:t>
      </w:r>
      <w:r>
        <w:rPr>
          <w:b w:val="0"/>
          <w:i w:val="0"/>
          <w:smallCaps w:val="0"/>
          <w:strike w:val="0"/>
          <w:u w:val="single"/>
        </w:rPr>
        <w:t xml:space="preserve"> because “by and large, Chevron has been a dead letter for quite some time,</w:t>
      </w:r>
      <w:r>
        <w:rPr>
          <w:b w:val="0"/>
          <w:i w:val="0"/>
          <w:smallCaps w:val="0"/>
          <w:strike w:val="0"/>
          <w:sz w:val="16"/>
          <w:u w:val="none"/>
        </w:rPr>
        <w:t>” Vladeck said.</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