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Longitudinal analysis confirms antitrust more effectively boosts innovation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Hovenkamp</w:t>
      </w:r>
      <w:r>
        <w:rPr>
          <w:b/>
          <w:i w:val="0"/>
          <w:smallCaps w:val="0"/>
          <w:strike w:val="0"/>
          <w:sz w:val="26"/>
          <w:u w:val="none"/>
        </w:rPr>
        <w:t xml:space="preserve"> 2015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Herbert J., Ben V. &amp; Dorothy Willie Professor, University of Iowa College of Law. "Antitrust and the Patent System: A Reexamination" (2015). All Faculty Scholarship. 1820. https://scholarship.law.upenn.edu/faculty_scholarship/1820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F. Comparative Advantage Legal policy makers must make decisions with the tools and information available to them, even if they are not perfect. </w:t>
      </w:r>
      <w:r>
        <w:rPr>
          <w:b w:val="0"/>
          <w:i w:val="0"/>
          <w:smallCaps w:val="0"/>
          <w:strike w:val="0"/>
          <w:u w:val="none"/>
        </w:rPr>
        <w:t>At this time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our knowledge about the relationship between antitrust law and traditional competition</w:t>
      </w:r>
      <w:r>
        <w:rPr>
          <w:b w:val="0"/>
          <w:i w:val="0"/>
          <w:smallCaps w:val="0"/>
          <w:strike w:val="0"/>
          <w:u w:val="none"/>
        </w:rPr>
        <w:t xml:space="preserve">, while imperfect, </w:t>
      </w:r>
      <w:r>
        <w:rPr>
          <w:b w:val="0"/>
          <w:i w:val="0"/>
          <w:smallCaps w:val="0"/>
          <w:strike w:val="0"/>
          <w:sz w:val="22"/>
          <w:u w:val="single"/>
        </w:rPr>
        <w:t>is much more complete than our knowledge about the relationship between patent law and innovation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more particularly, about </w:t>
      </w:r>
      <w:r>
        <w:rPr>
          <w:b w:val="0"/>
          <w:i w:val="0"/>
          <w:smallCaps w:val="0"/>
          <w:strike w:val="0"/>
          <w:sz w:val="22"/>
          <w:u w:val="single"/>
        </w:rPr>
        <w:t>the impact of particular patent doctrines on innovation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In that setting it is not irrational to condemn a practice that is highly likely to decrease welfare via collusion</w:t>
      </w:r>
      <w:r>
        <w:rPr>
          <w:b w:val="0"/>
          <w:i w:val="0"/>
          <w:smallCaps w:val="0"/>
          <w:strike w:val="0"/>
          <w:u w:val="none"/>
        </w:rPr>
        <w:t xml:space="preserve"> or exclusion </w:t>
      </w:r>
      <w:r>
        <w:rPr>
          <w:b/>
          <w:i w:val="0"/>
          <w:smallCaps w:val="0"/>
          <w:strike w:val="0"/>
          <w:sz w:val="22"/>
          <w:u w:val="single"/>
        </w:rPr>
        <w:t>in the shorter run based on nothing but an unsupported hunch that it might also increase innovation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