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Lack of commitment from the legislature and the justice system prevents durable uptake.</w:t>
      </w:r>
    </w:p>
    <w:p>
      <w:pPr>
        <w:spacing w:after="80"/>
      </w:pPr>
      <w:r>
        <w:rPr>
          <w:b/>
          <w:i w:val="0"/>
          <w:smallCaps w:val="0"/>
          <w:strike w:val="0"/>
          <w:sz w:val="26"/>
          <w:u w:val="none"/>
        </w:rPr>
        <w:t>Kovacic 24</w:t>
      </w:r>
      <w:r>
        <w:rPr>
          <w:b w:val="0"/>
          <w:i w:val="0"/>
          <w:smallCaps w:val="0"/>
          <w:strike w:val="0"/>
          <w:u w:val="none"/>
        </w:rPr>
        <w:t xml:space="preserve"> </w:t>
      </w:r>
      <w:r>
        <w:rPr>
          <w:b w:val="0"/>
          <w:i w:val="0"/>
          <w:smallCaps w:val="0"/>
          <w:strike w:val="0"/>
          <w:sz w:val="16"/>
          <w:u w:val="none"/>
        </w:rPr>
        <w:t xml:space="preserve">[William E; George Mason University Foundation Professor at the George Mason University School of Law, member of the Federal Trade Commission from January 2006 to October 2011, chaired the agency from March 2008 to March 2009; 1/23/24; "Antitrust, Transformation, and Enduring Policy Change"; Iowa Journal of Corporation Law; Vol. 49:2; </w:t>
      </w:r>
      <w:r>
        <w:rPr>
          <w:b w:val="0"/>
          <w:i w:val="0"/>
          <w:smallCaps w:val="0"/>
          <w:strike w:val="0"/>
          <w:sz w:val="16"/>
          <w:u w:val="none"/>
        </w:rPr>
        <w:t>https://jcl.law.uiowa.edu/articles/2024/01/antitrust-transformation-and-enduring-policy-change ;</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s.low</w:t>
      </w:r>
    </w:p>
    <w:p>
      <w:pPr>
        <w:spacing w:after="60"/>
      </w:pPr>
      <w:r>
        <w:rPr>
          <w:b w:val="0"/>
          <w:i w:val="0"/>
          <w:smallCaps w:val="0"/>
          <w:strike w:val="0"/>
          <w:sz w:val="16"/>
          <w:u w:val="none"/>
        </w:rPr>
        <w:t xml:space="preserve">Three </w:t>
      </w:r>
      <w:r>
        <w:rPr>
          <w:b w:val="0"/>
          <w:i w:val="0"/>
          <w:smallCaps w:val="0"/>
          <w:strike w:val="0"/>
          <w:sz w:val="22"/>
          <w:u w:val="single"/>
        </w:rPr>
        <w:t>forces tend to work against the attainment of lasting fundamental change</w:t>
      </w:r>
      <w:r>
        <w:rPr>
          <w:b w:val="0"/>
          <w:i w:val="0"/>
          <w:smallCaps w:val="0"/>
          <w:strike w:val="0"/>
          <w:sz w:val="16"/>
          <w:u w:val="none"/>
        </w:rPr>
        <w:t xml:space="preserve">. The </w:t>
      </w:r>
      <w:r>
        <w:rPr>
          <w:b w:val="0"/>
          <w:i w:val="0"/>
          <w:smallCaps w:val="0"/>
          <w:strike w:val="0"/>
          <w:sz w:val="22"/>
          <w:u w:val="single"/>
        </w:rPr>
        <w:t>first is time</w:t>
      </w:r>
      <w:r>
        <w:rPr>
          <w:b w:val="0"/>
          <w:i w:val="0"/>
          <w:smallCaps w:val="0"/>
          <w:strike w:val="0"/>
          <w:sz w:val="16"/>
          <w:u w:val="none"/>
        </w:rPr>
        <w:t xml:space="preserve">. A vital </w:t>
      </w:r>
      <w:r>
        <w:rPr>
          <w:b w:val="0"/>
          <w:i w:val="0"/>
          <w:smallCaps w:val="0"/>
          <w:strike w:val="0"/>
          <w:sz w:val="22"/>
          <w:u w:val="single"/>
        </w:rPr>
        <w:t>determinant of success is</w:t>
      </w:r>
      <w:r>
        <w:rPr>
          <w:b w:val="0"/>
          <w:i w:val="0"/>
          <w:smallCaps w:val="0"/>
          <w:strike w:val="0"/>
          <w:sz w:val="16"/>
          <w:u w:val="none"/>
        </w:rPr>
        <w:t xml:space="preserve"> the </w:t>
      </w:r>
      <w:r>
        <w:rPr>
          <w:b/>
          <w:i w:val="0"/>
          <w:smallCaps w:val="0"/>
          <w:strike w:val="0"/>
          <w:sz w:val="22"/>
          <w:u w:val="single"/>
        </w:rPr>
        <w:t>durability of the commitment of the nation’s political leadership</w:t>
      </w:r>
      <w:r>
        <w:rPr>
          <w:b w:val="0"/>
          <w:i w:val="0"/>
          <w:smallCaps w:val="0"/>
          <w:strike w:val="0"/>
          <w:sz w:val="22"/>
          <w:u w:val="single"/>
        </w:rPr>
        <w:t xml:space="preserve"> to place</w:t>
      </w:r>
      <w:r>
        <w:rPr>
          <w:b w:val="0"/>
          <w:i w:val="0"/>
          <w:smallCaps w:val="0"/>
          <w:strike w:val="0"/>
          <w:sz w:val="16"/>
          <w:u w:val="none"/>
        </w:rPr>
        <w:t xml:space="preserve"> transformation </w:t>
      </w:r>
      <w:r>
        <w:rPr>
          <w:b w:val="0"/>
          <w:i w:val="0"/>
          <w:smallCaps w:val="0"/>
          <w:strike w:val="0"/>
          <w:sz w:val="22"/>
          <w:u w:val="single"/>
        </w:rPr>
        <w:t>advocates in senior leadership roles at the DOJ and the FTC</w:t>
      </w:r>
      <w:r>
        <w:rPr>
          <w:b w:val="0"/>
          <w:i w:val="0"/>
          <w:smallCaps w:val="0"/>
          <w:strike w:val="0"/>
          <w:sz w:val="16"/>
          <w:u w:val="none"/>
        </w:rPr>
        <w:t xml:space="preserve">, to support new legislation, and to </w:t>
      </w:r>
      <w:r>
        <w:rPr>
          <w:b w:val="0"/>
          <w:i w:val="0"/>
          <w:smallCaps w:val="0"/>
          <w:strike w:val="0"/>
          <w:sz w:val="22"/>
          <w:u w:val="single"/>
        </w:rPr>
        <w:t>appoint federal judges sympathetic to transformation perspectives</w:t>
      </w:r>
      <w:r>
        <w:rPr>
          <w:b w:val="0"/>
          <w:i w:val="0"/>
          <w:smallCaps w:val="0"/>
          <w:strike w:val="0"/>
          <w:sz w:val="16"/>
          <w:u w:val="none"/>
        </w:rPr>
        <w:t xml:space="preserve">. The redirection of the antitrust system began in the federal courts during the late 1970s and accelerated in the Reagan presidency in the 1980s required several decades to set firmly in place. </w:t>
      </w:r>
      <w:r>
        <w:rPr>
          <w:b w:val="0"/>
          <w:i w:val="0"/>
          <w:smallCaps w:val="0"/>
          <w:strike w:val="0"/>
          <w:sz w:val="22"/>
          <w:u w:val="single"/>
        </w:rPr>
        <w:t>How many transformation-minded presidents will occupy the White House over the next thirty years or so</w:t>
      </w:r>
      <w:r>
        <w:rPr>
          <w:b w:val="0"/>
          <w:i w:val="0"/>
          <w:smallCaps w:val="0"/>
          <w:strike w:val="0"/>
          <w:sz w:val="16"/>
          <w:u w:val="none"/>
        </w:rPr>
        <w:t xml:space="preserve">? Over the same </w:t>
      </w:r>
      <w:r>
        <w:rPr>
          <w:b w:val="0"/>
          <w:i w:val="0"/>
          <w:smallCaps w:val="0"/>
          <w:strike w:val="0"/>
          <w:sz w:val="16"/>
          <w:u w:val="none"/>
        </w:rPr>
        <w:t>period of time</w:t>
      </w:r>
      <w:r>
        <w:rPr>
          <w:b w:val="0"/>
          <w:i w:val="0"/>
          <w:smallCaps w:val="0"/>
          <w:strike w:val="0"/>
          <w:sz w:val="16"/>
          <w:u w:val="none"/>
        </w:rPr>
        <w:t xml:space="preserve">, </w:t>
      </w:r>
      <w:r>
        <w:rPr>
          <w:b w:val="0"/>
          <w:i w:val="0"/>
          <w:smallCaps w:val="0"/>
          <w:strike w:val="0"/>
          <w:sz w:val="22"/>
          <w:u w:val="single"/>
        </w:rPr>
        <w:t xml:space="preserve">will Congress provide the appropriations, statutory upgrades, and political support necessary for the public agencies to execute </w:t>
      </w:r>
      <w:r>
        <w:rPr>
          <w:b w:val="0"/>
          <w:i w:val="0"/>
          <w:smallCaps w:val="0"/>
          <w:strike w:val="0"/>
          <w:sz w:val="16"/>
          <w:u w:val="none"/>
        </w:rPr>
        <w:t xml:space="preserve">the transformation agenda? </w:t>
      </w:r>
      <w:r>
        <w:rPr>
          <w:b w:val="0"/>
          <w:i w:val="0"/>
          <w:smallCaps w:val="0"/>
          <w:strike w:val="0"/>
          <w:sz w:val="22"/>
          <w:u w:val="single"/>
        </w:rPr>
        <w:t xml:space="preserve">Are current transformation advocates in the antitrust agencies and the White House taking </w:t>
      </w:r>
      <w:r>
        <w:rPr>
          <w:b/>
          <w:i w:val="0"/>
          <w:smallCaps w:val="0"/>
          <w:strike w:val="0"/>
          <w:sz w:val="22"/>
          <w:u w:val="single"/>
        </w:rPr>
        <w:t xml:space="preserve">steps to ensure that their initiatives survive possible regime changes over time? </w:t>
      </w:r>
      <w:r>
        <w:rPr>
          <w:b w:val="0"/>
          <w:i w:val="0"/>
          <w:smallCaps w:val="0"/>
          <w:strike w:val="0"/>
          <w:sz w:val="16"/>
          <w:u w:val="none"/>
        </w:rPr>
        <w:t>If Congress were to undertake a basic retooling of substantive competition policy principles, might it take the further step of considering whether the existing distribution of prosecutorial authority (including the maintenance of two federal antitrust bodies) requires simplification?153</w:t>
      </w:r>
    </w:p>
    <w:p>
      <w:pPr>
        <w:spacing w:after="60"/>
      </w:pPr>
      <w:r>
        <w:rPr>
          <w:b w:val="0"/>
          <w:i w:val="0"/>
          <w:smallCaps w:val="0"/>
          <w:strike w:val="0"/>
          <w:sz w:val="16"/>
          <w:u w:val="none"/>
        </w:rPr>
        <w:t xml:space="preserve">A </w:t>
      </w:r>
      <w:r>
        <w:rPr>
          <w:b w:val="0"/>
          <w:i w:val="0"/>
          <w:smallCaps w:val="0"/>
          <w:strike w:val="0"/>
          <w:sz w:val="22"/>
          <w:u w:val="single"/>
        </w:rPr>
        <w:t>second</w:t>
      </w:r>
      <w:r>
        <w:rPr>
          <w:b w:val="0"/>
          <w:i w:val="0"/>
          <w:smallCaps w:val="0"/>
          <w:strike w:val="0"/>
          <w:sz w:val="16"/>
          <w:u w:val="none"/>
        </w:rPr>
        <w:t xml:space="preserve">, related </w:t>
      </w:r>
      <w:r>
        <w:rPr>
          <w:b w:val="0"/>
          <w:i w:val="0"/>
          <w:smallCaps w:val="0"/>
          <w:strike w:val="0"/>
          <w:sz w:val="22"/>
          <w:u w:val="single"/>
        </w:rPr>
        <w:t>factor</w:t>
      </w:r>
      <w:r>
        <w:rPr>
          <w:b w:val="0"/>
          <w:i w:val="0"/>
          <w:smallCaps w:val="0"/>
          <w:strike w:val="0"/>
          <w:sz w:val="16"/>
          <w:u w:val="none"/>
        </w:rPr>
        <w:t xml:space="preserve"> is the time </w:t>
      </w:r>
      <w:r>
        <w:rPr>
          <w:b w:val="0"/>
          <w:i w:val="0"/>
          <w:smallCaps w:val="0"/>
          <w:strike w:val="0"/>
          <w:sz w:val="22"/>
          <w:u w:val="single"/>
        </w:rPr>
        <w:t xml:space="preserve">required to effectuate a change in judicial perspectives that </w:t>
      </w:r>
      <w:r>
        <w:rPr>
          <w:b/>
          <w:i w:val="0"/>
          <w:smallCaps w:val="0"/>
          <w:strike w:val="0"/>
          <w:sz w:val="22"/>
          <w:u w:val="single"/>
        </w:rPr>
        <w:t xml:space="preserve">welcomes a significant redrawing of </w:t>
      </w:r>
      <w:r>
        <w:rPr>
          <w:b/>
          <w:i w:val="0"/>
          <w:smallCaps w:val="0"/>
          <w:strike w:val="0"/>
          <w:sz w:val="22"/>
          <w:u w:val="single"/>
        </w:rPr>
        <w:t>antitrust’s</w:t>
      </w:r>
      <w:r>
        <w:rPr>
          <w:b/>
          <w:i w:val="0"/>
          <w:smallCaps w:val="0"/>
          <w:strike w:val="0"/>
          <w:sz w:val="22"/>
          <w:u w:val="single"/>
        </w:rPr>
        <w:t xml:space="preserve"> doctrinal boundaries</w:t>
      </w:r>
      <w:r>
        <w:rPr>
          <w:b w:val="0"/>
          <w:i w:val="0"/>
          <w:smallCaps w:val="0"/>
          <w:strike w:val="0"/>
          <w:sz w:val="16"/>
          <w:u w:val="none"/>
        </w:rPr>
        <w:t xml:space="preserve">. Two </w:t>
      </w:r>
      <w:r>
        <w:rPr>
          <w:b w:val="0"/>
          <w:i w:val="0"/>
          <w:smallCaps w:val="0"/>
          <w:strike w:val="0"/>
          <w:sz w:val="22"/>
          <w:u w:val="single"/>
        </w:rPr>
        <w:t>necessary paths</w:t>
      </w:r>
      <w:r>
        <w:rPr>
          <w:b w:val="0"/>
          <w:i w:val="0"/>
          <w:smallCaps w:val="0"/>
          <w:strike w:val="0"/>
          <w:sz w:val="16"/>
          <w:u w:val="none"/>
        </w:rPr>
        <w:t xml:space="preserve"> to this adjustment </w:t>
      </w:r>
      <w:r>
        <w:rPr>
          <w:b w:val="0"/>
          <w:i w:val="0"/>
          <w:smallCaps w:val="0"/>
          <w:strike w:val="0"/>
          <w:sz w:val="22"/>
          <w:u w:val="single"/>
        </w:rPr>
        <w:t>are</w:t>
      </w:r>
      <w:r>
        <w:rPr>
          <w:b w:val="0"/>
          <w:i w:val="0"/>
          <w:smallCaps w:val="0"/>
          <w:strike w:val="0"/>
          <w:sz w:val="16"/>
          <w:u w:val="none"/>
        </w:rPr>
        <w:t xml:space="preserve">: (1) </w:t>
      </w:r>
      <w:r>
        <w:rPr>
          <w:b w:val="0"/>
          <w:i w:val="0"/>
          <w:smallCaps w:val="0"/>
          <w:strike w:val="0"/>
          <w:sz w:val="22"/>
          <w:u w:val="single"/>
        </w:rPr>
        <w:t>the appointment of new judges sympathetic to transformation perspectives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(2) </w:t>
      </w:r>
      <w:r>
        <w:rPr>
          <w:b w:val="0"/>
          <w:i w:val="0"/>
          <w:smallCaps w:val="0"/>
          <w:strike w:val="0"/>
          <w:sz w:val="22"/>
          <w:u w:val="single"/>
        </w:rPr>
        <w:t>the persuasion of existing judges to endorse efforts, by government agencies and private litigants, to apply or extend</w:t>
      </w:r>
      <w:r>
        <w:rPr>
          <w:b w:val="0"/>
          <w:i w:val="0"/>
          <w:smallCaps w:val="0"/>
          <w:strike w:val="0"/>
          <w:sz w:val="16"/>
          <w:u w:val="none"/>
        </w:rPr>
        <w:t xml:space="preserve"> (at least in small steps) the </w:t>
      </w:r>
      <w:r>
        <w:rPr>
          <w:b w:val="0"/>
          <w:i w:val="0"/>
          <w:smallCaps w:val="0"/>
          <w:strike w:val="0"/>
          <w:sz w:val="22"/>
          <w:u w:val="single"/>
        </w:rPr>
        <w:t>existing doctrinal standards to challenge alleged episodes of anticompetitive conduct</w:t>
      </w:r>
      <w:r>
        <w:rPr>
          <w:b w:val="0"/>
          <w:i w:val="0"/>
          <w:smallCaps w:val="0"/>
          <w:strike w:val="0"/>
          <w:sz w:val="16"/>
          <w:u w:val="none"/>
        </w:rPr>
        <w:t xml:space="preserve">. In the shorter term, </w:t>
      </w:r>
      <w:r>
        <w:rPr>
          <w:b w:val="0"/>
          <w:i w:val="0"/>
          <w:smallCaps w:val="0"/>
          <w:strike w:val="0"/>
          <w:sz w:val="22"/>
          <w:u w:val="single"/>
        </w:rPr>
        <w:t>efforts to bring cases</w:t>
      </w:r>
      <w:r>
        <w:rPr>
          <w:b w:val="0"/>
          <w:i w:val="0"/>
          <w:smallCaps w:val="0"/>
          <w:strike w:val="0"/>
          <w:sz w:val="16"/>
          <w:u w:val="none"/>
        </w:rPr>
        <w:t xml:space="preserve"> that expand enforcement frontiers </w:t>
      </w:r>
      <w:r>
        <w:rPr>
          <w:b w:val="0"/>
          <w:i w:val="0"/>
          <w:smallCaps w:val="0"/>
          <w:strike w:val="0"/>
          <w:sz w:val="22"/>
          <w:u w:val="single"/>
        </w:rPr>
        <w:t xml:space="preserve">will face </w:t>
      </w:r>
      <w:r>
        <w:rPr>
          <w:b/>
          <w:i w:val="0"/>
          <w:smallCaps w:val="0"/>
          <w:strike w:val="0"/>
          <w:sz w:val="22"/>
          <w:u w:val="single"/>
        </w:rPr>
        <w:t>resistance from a large body of judges</w:t>
      </w:r>
      <w:r>
        <w:rPr>
          <w:b w:val="0"/>
          <w:i w:val="0"/>
          <w:smallCaps w:val="0"/>
          <w:strike w:val="0"/>
          <w:sz w:val="22"/>
          <w:u w:val="single"/>
        </w:rPr>
        <w:t xml:space="preserve"> who endorse the doctrinal status quo and are skeptical about extensions</w:t>
      </w:r>
      <w:r>
        <w:rPr>
          <w:b w:val="0"/>
          <w:i w:val="0"/>
          <w:smallCaps w:val="0"/>
          <w:strike w:val="0"/>
          <w:sz w:val="16"/>
          <w:u w:val="non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