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w:t>
      </w:r>
      <w:r>
        <w:rPr>
          <w:b/>
          <w:i w:val="0"/>
          <w:smallCaps w:val="0"/>
          <w:strike w:val="0"/>
          <w:sz w:val="26"/>
          <w:u w:val="none"/>
        </w:rPr>
        <w:t xml:space="preserve">usiness confidence high – </w:t>
      </w:r>
      <w:r>
        <w:rPr>
          <w:b/>
          <w:i w:val="0"/>
          <w:smallCaps w:val="0"/>
          <w:strike w:val="0"/>
          <w:sz w:val="26"/>
          <w:u w:val="none"/>
        </w:rPr>
        <w:t>CEO</w:t>
      </w:r>
      <w:r>
        <w:rPr>
          <w:b/>
          <w:i w:val="0"/>
          <w:smallCaps w:val="0"/>
          <w:strike w:val="0"/>
          <w:sz w:val="26"/>
          <w:u w:val="none"/>
        </w:rPr>
        <w:t xml:space="preserve"> index data, recession fears fading</w:t>
      </w:r>
    </w:p>
    <w:p>
      <w:pPr>
        <w:spacing w:after="80"/>
      </w:pPr>
      <w:r>
        <w:rPr>
          <w:b/>
          <w:i w:val="0"/>
          <w:smallCaps w:val="0"/>
          <w:strike w:val="0"/>
          <w:sz w:val="26"/>
          <w:u w:val="none"/>
        </w:rPr>
        <w:t>Conference Board 5/9</w:t>
      </w:r>
      <w:r>
        <w:rPr>
          <w:b/>
          <w:i w:val="0"/>
          <w:smallCaps w:val="0"/>
          <w:strike w:val="0"/>
          <w:sz w:val="26"/>
          <w:u w:val="none"/>
        </w:rPr>
        <w:t xml:space="preserve">. </w:t>
      </w:r>
      <w:r>
        <w:rPr>
          <w:b w:val="0"/>
          <w:i w:val="0"/>
          <w:smallCaps w:val="0"/>
          <w:strike w:val="0"/>
          <w:u w:val="none"/>
        </w:rPr>
        <w:t xml:space="preserve">The Conference Board, Inc. is a 501 non-profit business membership and research group organization. It counts over 1,000 public and private corporations and other 2024 “US CEO CONFIDENCE.” May 9, 2024. </w:t>
      </w:r>
      <w:r>
        <w:rPr>
          <w:b w:val="0"/>
          <w:i w:val="0"/>
          <w:smallCaps w:val="0"/>
          <w:strike w:val="0"/>
          <w:u w:val="none"/>
        </w:rPr>
        <w:t>https://www.conference-board.org/topics/CEO-Confidence Accessed 6/27/24</w:t>
      </w:r>
      <w:r>
        <w:rPr>
          <w:b w:val="0"/>
          <w:i w:val="0"/>
          <w:smallCaps w:val="0"/>
          <w:strike w:val="0"/>
          <w:u w:val="none"/>
        </w:rPr>
        <w:t xml:space="preserve"> NHS BG</w:t>
      </w:r>
    </w:p>
    <w:p>
      <w:pPr>
        <w:spacing w:after="60"/>
      </w:pPr>
      <w:r>
        <w:rPr>
          <w:b w:val="0"/>
          <w:i w:val="0"/>
          <w:smallCaps w:val="0"/>
          <w:strike w:val="0"/>
          <w:sz w:val="16"/>
          <w:u w:val="none"/>
        </w:rPr>
        <w:t>The Conference Board Measure of</w:t>
      </w:r>
      <w:r>
        <w:rPr>
          <w:b w:val="0"/>
          <w:i w:val="0"/>
          <w:smallCaps w:val="0"/>
          <w:strike w:val="0"/>
          <w:u w:val="none"/>
        </w:rPr>
        <w:t xml:space="preserve"> </w:t>
      </w:r>
      <w:r>
        <w:rPr>
          <w:b w:val="0"/>
          <w:i w:val="0"/>
          <w:smallCaps w:val="0"/>
          <w:strike w:val="0"/>
          <w:highlight w:val="cyan"/>
          <w:u w:val="single"/>
        </w:rPr>
        <w:t>CEO Confidence</w:t>
      </w:r>
      <w:r>
        <w:rPr>
          <w:b w:val="0"/>
          <w:i w:val="0"/>
          <w:smallCaps w:val="0"/>
          <w:strike w:val="0"/>
          <w:sz w:val="16"/>
          <w:u w:val="none"/>
        </w:rPr>
        <w:t>™ in collaboration with</w:t>
      </w:r>
      <w:r>
        <w:rPr>
          <w:b w:val="0"/>
          <w:i w:val="0"/>
          <w:smallCaps w:val="0"/>
          <w:strike w:val="0"/>
          <w:u w:val="none"/>
        </w:rPr>
        <w:t xml:space="preserve"> </w:t>
      </w:r>
      <w:r>
        <w:rPr>
          <w:b w:val="0"/>
          <w:i w:val="0"/>
          <w:smallCaps w:val="0"/>
          <w:strike w:val="0"/>
          <w:sz w:val="22"/>
          <w:u w:val="single"/>
        </w:rPr>
        <w:t xml:space="preserve">The Business Council </w:t>
      </w:r>
      <w:r>
        <w:rPr>
          <w:b w:val="0"/>
          <w:i w:val="0"/>
          <w:smallCaps w:val="0"/>
          <w:strike w:val="0"/>
          <w:sz w:val="22"/>
          <w:highlight w:val="cyan"/>
          <w:u w:val="single"/>
        </w:rPr>
        <w:t>rose to 54</w:t>
      </w:r>
      <w:r>
        <w:rPr>
          <w:b w:val="0"/>
          <w:i w:val="0"/>
          <w:smallCaps w:val="0"/>
          <w:strike w:val="0"/>
          <w:sz w:val="22"/>
          <w:u w:val="single"/>
        </w:rPr>
        <w:t xml:space="preserve"> in Q2 2024, up </w:t>
      </w:r>
      <w:r>
        <w:rPr>
          <w:b w:val="0"/>
          <w:i w:val="0"/>
          <w:smallCaps w:val="0"/>
          <w:strike w:val="0"/>
          <w:sz w:val="22"/>
          <w:highlight w:val="cyan"/>
          <w:u w:val="single"/>
        </w:rPr>
        <w:t>from 53</w:t>
      </w:r>
      <w:r>
        <w:rPr>
          <w:b w:val="0"/>
          <w:i w:val="0"/>
          <w:smallCaps w:val="0"/>
          <w:strike w:val="0"/>
          <w:sz w:val="22"/>
          <w:u w:val="single"/>
        </w:rPr>
        <w:t xml:space="preserve"> in the previous quarter. This </w:t>
      </w:r>
      <w:r>
        <w:rPr>
          <w:b w:val="0"/>
          <w:i w:val="0"/>
          <w:smallCaps w:val="0"/>
          <w:strike w:val="0"/>
          <w:sz w:val="22"/>
          <w:highlight w:val="cyan"/>
          <w:u w:val="single"/>
        </w:rPr>
        <w:t>marks</w:t>
      </w:r>
      <w:r>
        <w:rPr>
          <w:b w:val="0"/>
          <w:i w:val="0"/>
          <w:smallCaps w:val="0"/>
          <w:strike w:val="0"/>
          <w:sz w:val="22"/>
          <w:u w:val="single"/>
        </w:rPr>
        <w:t xml:space="preserve"> the </w:t>
      </w:r>
      <w:r>
        <w:rPr>
          <w:b w:val="0"/>
          <w:i w:val="0"/>
          <w:smallCaps w:val="0"/>
          <w:strike w:val="0"/>
          <w:sz w:val="22"/>
          <w:highlight w:val="cyan"/>
          <w:u w:val="single"/>
        </w:rPr>
        <w:t>second consecutive quarter</w:t>
      </w:r>
      <w:r>
        <w:rPr>
          <w:b w:val="0"/>
          <w:i w:val="0"/>
          <w:smallCaps w:val="0"/>
          <w:strike w:val="0"/>
          <w:sz w:val="22"/>
          <w:u w:val="single"/>
        </w:rPr>
        <w:t xml:space="preserve"> in which the Measure is above 50, </w:t>
      </w:r>
      <w:r>
        <w:rPr>
          <w:b w:val="0"/>
          <w:i w:val="0"/>
          <w:smallCaps w:val="0"/>
          <w:strike w:val="0"/>
          <w:sz w:val="22"/>
          <w:highlight w:val="cyan"/>
          <w:u w:val="single"/>
        </w:rPr>
        <w:t>indicating</w:t>
      </w:r>
      <w:r>
        <w:rPr>
          <w:b w:val="0"/>
          <w:i w:val="0"/>
          <w:smallCaps w:val="0"/>
          <w:strike w:val="0"/>
          <w:sz w:val="22"/>
          <w:u w:val="single"/>
        </w:rPr>
        <w:t xml:space="preserve"> that </w:t>
      </w:r>
      <w:r>
        <w:rPr>
          <w:b w:val="0"/>
          <w:i w:val="0"/>
          <w:smallCaps w:val="0"/>
          <w:strike w:val="0"/>
          <w:sz w:val="22"/>
          <w:highlight w:val="cyan"/>
          <w:u w:val="single"/>
        </w:rPr>
        <w:t>CEOs are cautiously optimistic</w:t>
      </w:r>
      <w:r>
        <w:rPr>
          <w:b w:val="0"/>
          <w:i w:val="0"/>
          <w:smallCaps w:val="0"/>
          <w:strike w:val="0"/>
          <w:sz w:val="22"/>
          <w:u w:val="single"/>
        </w:rPr>
        <w:t xml:space="preserve"> following two years of gloom.</w:t>
      </w:r>
      <w:r>
        <w:rPr>
          <w:b w:val="0"/>
          <w:i w:val="0"/>
          <w:smallCaps w:val="0"/>
          <w:strike w:val="0"/>
          <w:u w:val="none"/>
        </w:rPr>
        <w:t xml:space="preserve"> (</w:t>
      </w:r>
      <w:r>
        <w:rPr>
          <w:b w:val="0"/>
          <w:i w:val="0"/>
          <w:smallCaps w:val="0"/>
          <w:strike w:val="0"/>
          <w:sz w:val="16"/>
          <w:u w:val="none"/>
        </w:rPr>
        <w:t>A reading above 50 reflects more positive than negative responses.) A total of 136 CEOs participated in the Q2 survey, which was fielded from April 15 through 29.</w:t>
      </w:r>
      <w:r>
        <w:rPr>
          <w:b w:val="0"/>
          <w:i w:val="0"/>
          <w:smallCaps w:val="0"/>
          <w:strike w:val="0"/>
          <w:u w:val="none"/>
        </w:rPr>
        <w:t xml:space="preserve"> “</w:t>
      </w:r>
      <w:r>
        <w:rPr>
          <w:b w:val="0"/>
          <w:i w:val="0"/>
          <w:smallCaps w:val="0"/>
          <w:strike w:val="0"/>
          <w:sz w:val="22"/>
          <w:u w:val="single"/>
        </w:rPr>
        <w:t>CEOs’ views about the economy have shifted from six months ago,” said Roger W. Ferguson, Jr., Vice Chairman of The Business Council and Trustee of The Conference Board. “</w:t>
      </w:r>
      <w:r>
        <w:rPr>
          <w:b w:val="0"/>
          <w:i w:val="0"/>
          <w:smallCaps w:val="0"/>
          <w:strike w:val="0"/>
          <w:sz w:val="22"/>
          <w:highlight w:val="cyan"/>
          <w:u w:val="single"/>
        </w:rPr>
        <w:t>Recession fears</w:t>
      </w:r>
      <w:r>
        <w:rPr>
          <w:b w:val="0"/>
          <w:i w:val="0"/>
          <w:smallCaps w:val="0"/>
          <w:strike w:val="0"/>
          <w:sz w:val="22"/>
          <w:u w:val="single"/>
        </w:rPr>
        <w:t xml:space="preserve"> have </w:t>
      </w:r>
      <w:r>
        <w:rPr>
          <w:b w:val="0"/>
          <w:i w:val="0"/>
          <w:smallCaps w:val="0"/>
          <w:strike w:val="0"/>
          <w:sz w:val="22"/>
          <w:highlight w:val="cyan"/>
          <w:u w:val="single"/>
        </w:rPr>
        <w:t>faded</w:t>
      </w:r>
      <w:r>
        <w:rPr>
          <w:b w:val="0"/>
          <w:i w:val="0"/>
          <w:smallCaps w:val="0"/>
          <w:strike w:val="0"/>
          <w:sz w:val="22"/>
          <w:u w:val="single"/>
        </w:rPr>
        <w:t xml:space="preserve"> considerably: </w:t>
      </w:r>
      <w:r>
        <w:rPr>
          <w:b w:val="0"/>
          <w:i w:val="0"/>
          <w:smallCaps w:val="0"/>
          <w:strike w:val="0"/>
          <w:sz w:val="22"/>
          <w:highlight w:val="cyan"/>
          <w:u w:val="single"/>
        </w:rPr>
        <w:t>Only 35%</w:t>
      </w:r>
      <w:r>
        <w:rPr>
          <w:b w:val="0"/>
          <w:i w:val="0"/>
          <w:smallCaps w:val="0"/>
          <w:strike w:val="0"/>
          <w:sz w:val="22"/>
          <w:u w:val="single"/>
        </w:rPr>
        <w:t xml:space="preserve"> of CEOs surveyed in April </w:t>
      </w:r>
      <w:r>
        <w:rPr>
          <w:b w:val="0"/>
          <w:i w:val="0"/>
          <w:smallCaps w:val="0"/>
          <w:strike w:val="0"/>
          <w:sz w:val="22"/>
          <w:highlight w:val="cyan"/>
          <w:u w:val="single"/>
        </w:rPr>
        <w:t>anticipate</w:t>
      </w:r>
      <w:r>
        <w:rPr>
          <w:b w:val="0"/>
          <w:i w:val="0"/>
          <w:smallCaps w:val="0"/>
          <w:strike w:val="0"/>
          <w:sz w:val="22"/>
          <w:u w:val="single"/>
        </w:rPr>
        <w:t xml:space="preserve"> a </w:t>
      </w:r>
      <w:r>
        <w:rPr>
          <w:b w:val="0"/>
          <w:i w:val="0"/>
          <w:smallCaps w:val="0"/>
          <w:strike w:val="0"/>
          <w:sz w:val="22"/>
          <w:highlight w:val="cyan"/>
          <w:u w:val="single"/>
        </w:rPr>
        <w:t>recession</w:t>
      </w:r>
      <w:r>
        <w:rPr>
          <w:b w:val="0"/>
          <w:i w:val="0"/>
          <w:smallCaps w:val="0"/>
          <w:strike w:val="0"/>
          <w:sz w:val="22"/>
          <w:u w:val="single"/>
        </w:rPr>
        <w:t xml:space="preserve"> within the next 12 to 18 months, </w:t>
      </w:r>
      <w:r>
        <w:rPr>
          <w:b w:val="0"/>
          <w:i w:val="0"/>
          <w:smallCaps w:val="0"/>
          <w:strike w:val="0"/>
          <w:sz w:val="22"/>
          <w:highlight w:val="cyan"/>
          <w:u w:val="single"/>
        </w:rPr>
        <w:t>down from 72%</w:t>
      </w:r>
      <w:r>
        <w:rPr>
          <w:b w:val="0"/>
          <w:i w:val="0"/>
          <w:smallCaps w:val="0"/>
          <w:strike w:val="0"/>
          <w:sz w:val="22"/>
          <w:u w:val="single"/>
        </w:rPr>
        <w:t xml:space="preserve"> in Q4 2023.</w:t>
      </w:r>
      <w:r>
        <w:rPr>
          <w:b w:val="0"/>
          <w:i w:val="0"/>
          <w:smallCaps w:val="0"/>
          <w:strike w:val="0"/>
          <w:u w:val="none"/>
        </w:rPr>
        <w:t xml:space="preserve"> </w:t>
      </w:r>
      <w:r>
        <w:rPr>
          <w:b w:val="0"/>
          <w:i w:val="0"/>
          <w:smallCaps w:val="0"/>
          <w:strike w:val="0"/>
          <w:sz w:val="16"/>
          <w:u w:val="none"/>
        </w:rPr>
        <w:t>Nonetheless, CEOs remain only cautiously optimistic. Expectations for the economy six-months ahead were a tad worse compared to Q1, with fewer CEOs saying conditions will be ‘much better’ or ‘better’ and more saying conditions will be the ‘same.’ Regarding expectations for their own industries, fewer CEOs expect conditions to worsen, while 46% think conditions will be the ‘same.’”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