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now despite inflation</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 xml:space="preserve">Nash </w:t>
      </w:r>
      <w:r>
        <w:rPr>
          <w:b/>
          <w:i w:val="0"/>
          <w:smallCaps w:val="0"/>
          <w:strike w:val="0"/>
          <w:sz w:val="26"/>
          <w:u w:val="none"/>
        </w:rPr>
        <w:t>6-11.</w:t>
      </w:r>
      <w:r>
        <w:rPr>
          <w:b w:val="0"/>
          <w:i w:val="0"/>
          <w:smallCaps w:val="0"/>
          <w:strike w:val="0"/>
          <w:u w:val="none"/>
        </w:rPr>
        <w:t xml:space="preserve"> </w:t>
      </w:r>
      <w:r>
        <w:rPr>
          <w:b w:val="0"/>
          <w:i w:val="0"/>
          <w:smallCaps w:val="0"/>
          <w:strike w:val="0"/>
          <w:sz w:val="22"/>
          <w:u w:val="none"/>
        </w:rPr>
        <w:t>(Jennifer Nash, Economic and Market Research Analyst at VettaFi Advisor Perspectives, VettaFi Advisor Perspectives, “NFIB Small Business Survey: Highest Level of the Year,” June 11</w:t>
      </w:r>
      <w:r>
        <w:rPr>
          <w:b w:val="0"/>
          <w:i w:val="0"/>
          <w:smallCaps w:val="0"/>
          <w:strike w:val="0"/>
          <w:sz w:val="22"/>
          <w:u w:val="none"/>
        </w:rPr>
        <w:t>th</w:t>
      </w:r>
      <w:r>
        <w:rPr>
          <w:b w:val="0"/>
          <w:i w:val="0"/>
          <w:smallCaps w:val="0"/>
          <w:strike w:val="0"/>
          <w:sz w:val="22"/>
          <w:u w:val="none"/>
        </w:rPr>
        <w:t>, 2024, https://www.advisorperspectives.com/dshort/updates/2024/06/11/nfib-small-business-survey-highest-level-of-the-year//Accessed 06/25/24) cpsw-sns</w:t>
      </w:r>
    </w:p>
    <w:p>
      <w:pPr>
        <w:spacing w:after="60"/>
      </w:pPr>
      <w:r>
        <w:rPr>
          <w:b w:val="0"/>
          <w:i w:val="0"/>
          <w:smallCaps w:val="0"/>
          <w:strike w:val="0"/>
          <w:sz w:val="22"/>
          <w:u w:val="single"/>
        </w:rPr>
        <w:t xml:space="preserve">The headline number for the </w:t>
      </w:r>
      <w:r>
        <w:rPr>
          <w:b w:val="0"/>
          <w:i w:val="0"/>
          <w:smallCaps w:val="0"/>
          <w:strike w:val="0"/>
          <w:sz w:val="22"/>
          <w:highlight w:val="cyan"/>
          <w:u w:val="single"/>
        </w:rPr>
        <w:t>NFIB S</w:t>
      </w:r>
      <w:r>
        <w:rPr>
          <w:b w:val="0"/>
          <w:i w:val="0"/>
          <w:smallCaps w:val="0"/>
          <w:strike w:val="0"/>
          <w:sz w:val="22"/>
          <w:u w:val="single"/>
        </w:rPr>
        <w:t>mall</w:t>
      </w:r>
      <w:r>
        <w:rPr>
          <w:b w:val="0"/>
          <w:i w:val="0"/>
          <w:smallCaps w:val="0"/>
          <w:strike w:val="0"/>
          <w:sz w:val="22"/>
          <w:highlight w:val="cyan"/>
          <w:u w:val="single"/>
        </w:rPr>
        <w:t xml:space="preserve"> B</w:t>
      </w:r>
      <w:r>
        <w:rPr>
          <w:b w:val="0"/>
          <w:i w:val="0"/>
          <w:smallCaps w:val="0"/>
          <w:strike w:val="0"/>
          <w:sz w:val="22"/>
          <w:u w:val="single"/>
        </w:rPr>
        <w:t xml:space="preserve">usiness </w:t>
      </w:r>
      <w:r>
        <w:rPr>
          <w:b w:val="0"/>
          <w:i w:val="0"/>
          <w:smallCaps w:val="0"/>
          <w:strike w:val="0"/>
          <w:sz w:val="22"/>
          <w:highlight w:val="cyan"/>
          <w:u w:val="single"/>
        </w:rPr>
        <w:t>O</w:t>
      </w:r>
      <w:r>
        <w:rPr>
          <w:b w:val="0"/>
          <w:i w:val="0"/>
          <w:smallCaps w:val="0"/>
          <w:strike w:val="0"/>
          <w:sz w:val="22"/>
          <w:u w:val="single"/>
        </w:rPr>
        <w:t>ptimism</w:t>
      </w:r>
      <w:r>
        <w:rPr>
          <w:b w:val="0"/>
          <w:i w:val="0"/>
          <w:smallCaps w:val="0"/>
          <w:strike w:val="0"/>
          <w:sz w:val="22"/>
          <w:highlight w:val="cyan"/>
          <w:u w:val="single"/>
        </w:rPr>
        <w:t xml:space="preserve"> Index rose to 90.5 in May, the</w:t>
      </w:r>
      <w:r>
        <w:rPr>
          <w:b w:val="0"/>
          <w:i w:val="0"/>
          <w:smallCaps w:val="0"/>
          <w:strike w:val="0"/>
          <w:sz w:val="22"/>
          <w:u w:val="single"/>
        </w:rPr>
        <w:t xml:space="preserve"> index's </w:t>
      </w:r>
      <w:r>
        <w:rPr>
          <w:b/>
          <w:i w:val="0"/>
          <w:smallCaps w:val="0"/>
          <w:strike w:val="0"/>
          <w:sz w:val="22"/>
          <w:highlight w:val="cyan"/>
          <w:u w:val="single"/>
        </w:rPr>
        <w:t>highest level of 2024</w:t>
      </w:r>
      <w:r>
        <w:rPr>
          <w:b w:val="0"/>
          <w:i w:val="0"/>
          <w:smallCaps w:val="0"/>
          <w:strike w:val="0"/>
          <w:sz w:val="22"/>
          <w:highlight w:val="cyan"/>
          <w:u w:val="single"/>
        </w:rPr>
        <w:t>.</w:t>
      </w:r>
      <w:r>
        <w:rPr>
          <w:b w:val="0"/>
          <w:i w:val="0"/>
          <w:smallCaps w:val="0"/>
          <w:strike w:val="0"/>
          <w:sz w:val="14"/>
          <w:highlight w:val="cyan"/>
          <w:u w:val="none"/>
        </w:rPr>
        <w:t xml:space="preserve"> </w:t>
      </w:r>
      <w:r>
        <w:rPr>
          <w:b w:val="0"/>
          <w:i w:val="0"/>
          <w:smallCaps w:val="0"/>
          <w:strike w:val="0"/>
          <w:highlight w:val="cyan"/>
          <w:u w:val="single"/>
        </w:rPr>
        <w:t>The latest reading was better than the forecast</w:t>
      </w:r>
      <w:r>
        <w:rPr>
          <w:b w:val="0"/>
          <w:i w:val="0"/>
          <w:smallCaps w:val="0"/>
          <w:strike w:val="0"/>
          <w:sz w:val="14"/>
          <w:u w:val="none"/>
        </w:rPr>
        <w:t xml:space="preserve"> of 89.8 but marked the 29th straight month the index has been below the series average of 97.9. </w:t>
      </w:r>
      <w:r>
        <w:rPr>
          <w:b w:val="0"/>
          <w:i w:val="0"/>
          <w:smallCaps w:val="0"/>
          <w:strike w:val="0"/>
          <w:sz w:val="22"/>
          <w:highlight w:val="cyan"/>
          <w:u w:val="single"/>
        </w:rPr>
        <w:t>The index is at the 10th percentile</w:t>
      </w:r>
      <w:r>
        <w:rPr>
          <w:b w:val="0"/>
          <w:i w:val="0"/>
          <w:smallCaps w:val="0"/>
          <w:strike w:val="0"/>
          <w:sz w:val="22"/>
          <w:u w:val="single"/>
        </w:rPr>
        <w:t xml:space="preserve"> in this series</w:t>
      </w:r>
      <w:r>
        <w:rPr>
          <w:b w:val="0"/>
          <w:i w:val="0"/>
          <w:smallCaps w:val="0"/>
          <w:strike w:val="0"/>
          <w:sz w:val="14"/>
          <w:u w:val="none"/>
        </w:rPr>
        <w:t>.</w:t>
      </w:r>
    </w:p>
    <w:p>
      <w:pPr>
        <w:spacing w:after="60"/>
      </w:pPr>
      <w:r>
        <w:rPr>
          <w:b w:val="0"/>
          <w:i w:val="0"/>
          <w:smallCaps w:val="0"/>
          <w:strike w:val="0"/>
          <w:sz w:val="14"/>
          <w:u w:val="none"/>
        </w:rPr>
        <w:t xml:space="preserve">Here is an excerpt from the opening </w:t>
      </w:r>
      <w:r>
        <w:rPr>
          <w:b w:val="0"/>
          <w:i w:val="0"/>
          <w:smallCaps w:val="0"/>
          <w:strike w:val="0"/>
          <w:highlight w:val="cyan"/>
          <w:u w:val="single"/>
        </w:rPr>
        <w:t>summary of the news release</w:t>
      </w:r>
      <w:r>
        <w:rPr>
          <w:b w:val="0"/>
          <w:i w:val="0"/>
          <w:smallCaps w:val="0"/>
          <w:strike w:val="0"/>
          <w:sz w:val="14"/>
          <w:u w:val="none"/>
        </w:rPr>
        <w:t>.</w:t>
      </w:r>
    </w:p>
    <w:p>
      <w:pPr>
        <w:spacing w:after="60"/>
      </w:pPr>
      <w:r>
        <w:rPr>
          <w:b w:val="0"/>
          <w:i w:val="0"/>
          <w:smallCaps w:val="0"/>
          <w:strike w:val="0"/>
          <w:sz w:val="14"/>
          <w:u w:val="none"/>
        </w:rPr>
        <w:t>“</w:t>
      </w:r>
      <w:r>
        <w:rPr>
          <w:b w:val="0"/>
          <w:i w:val="0"/>
          <w:smallCaps w:val="0"/>
          <w:strike w:val="0"/>
          <w:sz w:val="22"/>
          <w:u w:val="single"/>
        </w:rPr>
        <w:t xml:space="preserve">The small business sector is responsible for the production of over </w:t>
      </w:r>
      <w:r>
        <w:rPr>
          <w:b/>
          <w:i w:val="0"/>
          <w:smallCaps w:val="0"/>
          <w:strike w:val="0"/>
          <w:sz w:val="22"/>
          <w:u w:val="single"/>
        </w:rPr>
        <w:t xml:space="preserve">40% of GDP and employment, </w:t>
      </w:r>
      <w:r>
        <w:rPr>
          <w:b w:val="0"/>
          <w:i w:val="0"/>
          <w:smallCaps w:val="0"/>
          <w:strike w:val="0"/>
          <w:sz w:val="22"/>
          <w:u w:val="single"/>
        </w:rPr>
        <w:t xml:space="preserve">a </w:t>
      </w:r>
      <w:r>
        <w:rPr>
          <w:b/>
          <w:i w:val="0"/>
          <w:smallCaps w:val="0"/>
          <w:strike w:val="0"/>
          <w:sz w:val="22"/>
          <w:u w:val="single"/>
        </w:rPr>
        <w:t>crucial portion of the economy</w:t>
      </w:r>
      <w:r>
        <w:rPr>
          <w:b w:val="0"/>
          <w:i w:val="0"/>
          <w:smallCaps w:val="0"/>
          <w:strike w:val="0"/>
          <w:sz w:val="22"/>
          <w:u w:val="single"/>
        </w:rPr>
        <w:t>,</w:t>
      </w:r>
      <w:r>
        <w:rPr>
          <w:b w:val="0"/>
          <w:i w:val="0"/>
          <w:smallCaps w:val="0"/>
          <w:strike w:val="0"/>
          <w:sz w:val="14"/>
          <w:u w:val="none"/>
        </w:rPr>
        <w:t xml:space="preserve">” said NFIB Chief Economist Bill Dunkelberg. “But for 29 consecutive months, small business owners have expressed historically low optimism and their views about future business conditions are at the worst levels seen in 50 years. Small business owners need relief as </w:t>
      </w:r>
      <w:r>
        <w:rPr>
          <w:b w:val="0"/>
          <w:i w:val="0"/>
          <w:smallCaps w:val="0"/>
          <w:strike w:val="0"/>
          <w:highlight w:val="cyan"/>
          <w:u w:val="single"/>
        </w:rPr>
        <w:t>inflation has not eased much on Main Street.</w:t>
      </w:r>
      <w:r>
        <w:rPr>
          <w:b w:val="0"/>
          <w:i w:val="0"/>
          <w:smallCaps w:val="0"/>
          <w:strike w:val="0"/>
          <w:sz w:val="14"/>
          <w:u w:val="none"/>
        </w:rPr>
        <w:t>”</w:t>
      </w:r>
    </w:p>
    <w:p>
      <w:pPr>
        <w:spacing w:after="60"/>
      </w:pPr>
      <w:r>
        <w:rPr>
          <w:b w:val="0"/>
          <w:i w:val="0"/>
          <w:smallCaps w:val="0"/>
          <w:strike w:val="0"/>
          <w:sz w:val="14"/>
          <w:u w:val="none"/>
        </w:rPr>
        <w:t xml:space="preserve">The first chart below highlights the 1986 baseline level of 100 and includes some labels to help us visualize the dramatic change in small-business sentiment that accompanied </w:t>
      </w:r>
      <w:r>
        <w:rPr>
          <w:b w:val="0"/>
          <w:i w:val="0"/>
          <w:smallCaps w:val="0"/>
          <w:strike w:val="0"/>
          <w:sz w:val="14"/>
          <w:u w:val="none"/>
        </w:rPr>
        <w:t xml:space="preserve">the Great Financial Crisis and the COVID-19 pandemic. Compare, for example, the relative resilience of the index during the 2000-2003 collapse of the Tech Bubble with the far weaker readings following the Great Recession that ended in June 2009. </w:t>
      </w:r>
      <w:r>
        <w:rPr>
          <w:b w:val="0"/>
          <w:i w:val="0"/>
          <w:smallCaps w:val="0"/>
          <w:strike w:val="0"/>
          <w:sz w:val="22"/>
          <w:u w:val="single"/>
        </w:rPr>
        <w:t>Over the last few years, as a result of the COVID pandemic and high inflation, small business sentiment closely resembles that of the Great Recession and its aftermath.</w:t>
      </w:r>
    </w:p>
    <w:p>
      <w:pPr>
        <w:spacing w:after="60"/>
      </w:pPr>
      <w:r>
        <w:rPr>
          <w:b w:val="0"/>
          <w:i w:val="0"/>
          <w:smallCaps w:val="0"/>
          <w:strike w:val="0"/>
          <w:sz w:val="14"/>
          <w:u w:val="none"/>
        </w:rPr>
        <w:t>NFIB Optimism Index</w:t>
      </w:r>
    </w:p>
    <w:p>
      <w:pPr>
        <w:spacing w:after="60"/>
      </w:pPr>
      <w:r>
        <w:rPr>
          <w:b w:val="0"/>
          <w:i w:val="0"/>
          <w:smallCaps w:val="0"/>
          <w:strike w:val="0"/>
          <w:sz w:val="22"/>
          <w:highlight w:val="cyan"/>
          <w:u w:val="single"/>
        </w:rPr>
        <w:t>The index has shown r</w:t>
      </w:r>
      <w:r>
        <w:rPr>
          <w:b/>
          <w:i w:val="0"/>
          <w:smallCaps w:val="0"/>
          <w:strike w:val="0"/>
          <w:sz w:val="22"/>
          <w:highlight w:val="cyan"/>
          <w:u w:val="single"/>
        </w:rPr>
        <w:t xml:space="preserve">elative stability </w:t>
      </w:r>
      <w:r>
        <w:rPr>
          <w:b w:val="0"/>
          <w:i w:val="0"/>
          <w:smallCaps w:val="0"/>
          <w:strike w:val="0"/>
          <w:sz w:val="22"/>
          <w:highlight w:val="cyan"/>
          <w:u w:val="single"/>
        </w:rPr>
        <w:t>over the last 24 months</w:t>
      </w:r>
      <w:r>
        <w:rPr>
          <w:b w:val="0"/>
          <w:i w:val="0"/>
          <w:smallCaps w:val="0"/>
          <w:strike w:val="0"/>
          <w:sz w:val="22"/>
          <w:u w:val="single"/>
        </w:rPr>
        <w:t xml:space="preserve">, </w:t>
      </w:r>
      <w:r>
        <w:rPr>
          <w:b w:val="0"/>
          <w:i w:val="0"/>
          <w:smallCaps w:val="0"/>
          <w:strike w:val="0"/>
          <w:sz w:val="22"/>
          <w:u w:val="single"/>
        </w:rPr>
        <w:t xml:space="preserve">staying within the range of 88.5 to 92.1. With that being said, these </w:t>
      </w:r>
      <w:r>
        <w:rPr>
          <w:b/>
          <w:i w:val="0"/>
          <w:smallCaps w:val="0"/>
          <w:strike w:val="0"/>
          <w:sz w:val="22"/>
          <w:u w:val="single"/>
        </w:rPr>
        <w:t xml:space="preserve">recent levels fall on the </w:t>
      </w:r>
      <w:r>
        <w:rPr>
          <w:b w:val="0"/>
          <w:i w:val="0"/>
          <w:smallCaps w:val="0"/>
          <w:strike w:val="0"/>
          <w:sz w:val="22"/>
          <w:u w:val="single"/>
        </w:rPr>
        <w:t xml:space="preserve">historically </w:t>
      </w:r>
      <w:r>
        <w:rPr>
          <w:b/>
          <w:i w:val="0"/>
          <w:smallCaps w:val="0"/>
          <w:strike w:val="0"/>
          <w:sz w:val="22"/>
          <w:u w:val="single"/>
        </w:rPr>
        <w:t>lower side</w:t>
      </w:r>
      <w:r>
        <w:rPr>
          <w:b w:val="0"/>
          <w:i w:val="0"/>
          <w:smallCaps w:val="0"/>
          <w:strike w:val="0"/>
          <w:sz w:val="22"/>
          <w:u w:val="single"/>
        </w:rPr>
        <w:t>, ranking between the 4th and 17th percentile in the series. The next chart is a closer look at the indicator since the turn of the century.</w:t>
      </w:r>
    </w:p>
    <w:p>
      <w:pPr>
        <w:spacing w:after="60"/>
      </w:pPr>
      <w:r>
        <w:rPr>
          <w:b w:val="0"/>
          <w:i w:val="0"/>
          <w:smallCaps w:val="0"/>
          <w:strike w:val="0"/>
          <w:sz w:val="14"/>
          <w:u w:val="none"/>
        </w:rPr>
        <w:t>NFIB Optimism Index Since 2000</w:t>
      </w:r>
    </w:p>
    <w:p>
      <w:pPr>
        <w:spacing w:after="60"/>
      </w:pPr>
      <w:r>
        <w:rPr>
          <w:b w:val="0"/>
          <w:i w:val="0"/>
          <w:smallCaps w:val="0"/>
          <w:strike w:val="0"/>
          <w:sz w:val="14"/>
          <w:u w:val="none"/>
        </w:rPr>
        <w:t>The average monthly change in this indicator is 1.3 points. To smooth out the noise of volatility, here is a 3-month moving average of the Optimism Index along with the monthly values, shown as dots.</w:t>
      </w:r>
    </w:p>
    <w:p>
      <w:pPr>
        <w:spacing w:after="60"/>
      </w:pPr>
      <w:r>
        <w:rPr>
          <w:b w:val="0"/>
          <w:i w:val="0"/>
          <w:smallCaps w:val="0"/>
          <w:strike w:val="0"/>
          <w:sz w:val="14"/>
          <w:u w:val="none"/>
        </w:rPr>
        <w:t>NFIB Optimism Index Moving Average</w:t>
      </w:r>
    </w:p>
    <w:p>
      <w:pPr>
        <w:spacing w:after="60"/>
      </w:pPr>
      <w:r>
        <w:rPr>
          <w:b w:val="0"/>
          <w:i w:val="0"/>
          <w:smallCaps w:val="0"/>
          <w:strike w:val="0"/>
          <w:sz w:val="14"/>
          <w:u w:val="none"/>
        </w:rPr>
        <w:t>Business Optimism and Consumer Attitudes</w:t>
      </w:r>
    </w:p>
    <w:p>
      <w:pPr>
        <w:spacing w:after="60"/>
      </w:pPr>
      <w:r>
        <w:rPr>
          <w:b w:val="0"/>
          <w:i w:val="0"/>
          <w:smallCaps w:val="0"/>
          <w:strike w:val="0"/>
          <w:sz w:val="22"/>
          <w:u w:val="single"/>
        </w:rPr>
        <w:t xml:space="preserve">The next few charts are overlays of the Business </w:t>
      </w:r>
      <w:r>
        <w:rPr>
          <w:b w:val="0"/>
          <w:i w:val="0"/>
          <w:smallCaps w:val="0"/>
          <w:strike w:val="0"/>
          <w:sz w:val="22"/>
          <w:u w:val="single"/>
        </w:rPr>
        <w:t xml:space="preserve">Optimism Index with two of the main measures of consumer attitudes: Conference Board Consumer Confidence and University of Michigan Consumer Sentiment Index. </w:t>
      </w:r>
      <w:r>
        <w:rPr>
          <w:b w:val="0"/>
          <w:i w:val="0"/>
          <w:smallCaps w:val="0"/>
          <w:strike w:val="0"/>
          <w:sz w:val="14"/>
          <w:u w:val="none"/>
        </w:rPr>
        <w:t>The Consumer Confidence Index is influenced by employment and labor market conditions from the worker's perspective whereas the Michigan Sentiment Index is more focused on employment conditions from the business perspective. (For more information on how these indexes measure up against each other, check out our monthly update Two Measures of Consumer Attitudes: MCSI vs. CCI).</w:t>
      </w:r>
    </w:p>
    <w:p>
      <w:pPr>
        <w:spacing w:after="60"/>
      </w:pPr>
      <w:r>
        <w:rPr>
          <w:b w:val="0"/>
          <w:i w:val="0"/>
          <w:smallCaps w:val="0"/>
          <w:strike w:val="0"/>
          <w:sz w:val="14"/>
          <w:u w:val="none"/>
        </w:rPr>
        <w:t>In our first chart comparing the NFIB Small Business Optimism Index with the Conference Board Consumer Confidence Index, we can see that the consumer measure is the more volatile of the two. Therefore, it is plotted on a separate axis to give a better comparison of the two series from the common baseline of 100.</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