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Expansive </w:t>
      </w:r>
      <w:r>
        <w:rPr>
          <w:b/>
          <w:i w:val="0"/>
          <w:smallCaps w:val="0"/>
          <w:strike w:val="0"/>
          <w:sz w:val="26"/>
          <w:u w:val="none"/>
        </w:rPr>
        <w:t xml:space="preserve">regulation reduces trademark protection on small platforms  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Lance 20</w:t>
      </w:r>
      <w:r>
        <w:rPr>
          <w:b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none"/>
        </w:rPr>
        <w:t>(Holly Lance, Office of Policy and International Affairs, U.S. Patent and Trademark Office, “: Comments of Engine Advocacy in Response to Secondary Trademark Infringement Liability in the E-Commerce Setting,” USPTO Letter, December 28</w:t>
      </w:r>
      <w:r>
        <w:rPr>
          <w:b w:val="0"/>
          <w:i w:val="0"/>
          <w:smallCaps w:val="0"/>
          <w:strike w:val="0"/>
          <w:sz w:val="22"/>
          <w:u w:val="none"/>
        </w:rPr>
        <w:t>th</w:t>
      </w:r>
      <w:r>
        <w:rPr>
          <w:b w:val="0"/>
          <w:i w:val="0"/>
          <w:smallCaps w:val="0"/>
          <w:strike w:val="0"/>
          <w:sz w:val="22"/>
          <w:u w:val="none"/>
        </w:rPr>
        <w:t xml:space="preserve">, 2020,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https://static1.squarespace.com/static/571681753c44d835a440c8b5/t/5ff37a915abd827cadbf968f/1609792145348/2020.12.28_Comments+to+Docket+PTO+T+2020+0035.pdf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none"/>
        </w:rPr>
        <w:t>Accessed July 1</w:t>
      </w:r>
      <w:r>
        <w:rPr>
          <w:b w:val="0"/>
          <w:i w:val="0"/>
          <w:smallCaps w:val="0"/>
          <w:strike w:val="0"/>
          <w:sz w:val="22"/>
          <w:u w:val="none"/>
        </w:rPr>
        <w:t>st</w:t>
      </w:r>
      <w:r>
        <w:rPr>
          <w:b w:val="0"/>
          <w:i w:val="0"/>
          <w:smallCaps w:val="0"/>
          <w:strike w:val="0"/>
          <w:sz w:val="22"/>
          <w:u w:val="none"/>
        </w:rPr>
        <w:t>, 2024) cpsw-sns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These and numerous other examples reveal what is at stake.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Not only must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policymakers proceed with caution when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considering changes to the law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because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it would hurt startups and hinder competition and innovation,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but there are also other interests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.</w:t>
      </w:r>
      <w:r>
        <w:rPr>
          <w:b w:val="0"/>
          <w:i w:val="0"/>
          <w:smallCaps w:val="0"/>
          <w:strike w:val="0"/>
          <w:sz w:val="14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Shifting liability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platforms for alleged infringement they have no knowledge of or involvement in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would: give rise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“concerns about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freedom of expression” 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“free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access to info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rmation,”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implicate 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egitimate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uses of 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omeone else’s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trademarks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online,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 restrict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“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dev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elopment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of new tech</w:t>
      </w:r>
      <w:r>
        <w:rPr>
          <w:b w:val="0"/>
          <w:i w:val="0"/>
          <w:smallCaps w:val="0"/>
          <w:strike w:val="0"/>
          <w:sz w:val="22"/>
          <w:u w:val="single"/>
        </w:rPr>
        <w:t>nologies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, including those capable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both infringing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non-infringing uses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14"/>
          <w:u w:val="none"/>
        </w:rPr>
        <w:t>”3</w:t>
      </w:r>
      <w:r>
        <w:rPr>
          <w:b w:val="0"/>
          <w:i w:val="0"/>
          <w:smallCaps w:val="0"/>
          <w:strike w:val="0"/>
          <w:sz w:val="22"/>
          <w:u w:val="single"/>
        </w:rPr>
        <w:t>8 It would require platforms to “radically contract” their legitimate offerings, which would hurt small businesses, I</w:t>
      </w:r>
      <w:r>
        <w:rPr>
          <w:b w:val="0"/>
          <w:i w:val="0"/>
          <w:smallCaps w:val="0"/>
          <w:strike w:val="0"/>
          <w:sz w:val="14"/>
          <w:u w:val="none"/>
        </w:rPr>
        <w:t xml:space="preserve">nternet users, Internet-enabled creators, and consumers that do (or could) rely on such marketplaces.39 And that </w:t>
      </w:r>
      <w:r>
        <w:rPr>
          <w:b w:val="0"/>
          <w:i w:val="0"/>
          <w:smallCaps w:val="0"/>
          <w:strike w:val="0"/>
          <w:sz w:val="22"/>
          <w:u w:val="single"/>
        </w:rPr>
        <w:t>“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overreactive impulse [to over-takedown] carries a disparate impact on small businesses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smaller platforms,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who are often ill equipped to defend themselves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against potentially false claims of contributory infringement.”40 *</w:t>
      </w:r>
    </w:p>
    <w:p>
      <w:pPr>
        <w:pStyle w:val="Caption"/>
      </w:pPr>
      <w:r>
        <w:t>Source: Business Confidence DA Updates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