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Trademark</w:t>
      </w:r>
      <w:r>
        <w:rPr>
          <w:b/>
          <w:i w:val="0"/>
          <w:smallCaps w:val="0"/>
          <w:strike w:val="0"/>
          <w:sz w:val="26"/>
          <w:u w:val="none"/>
        </w:rPr>
        <w:t xml:space="preserve"> infringement negatively influences business enthusiasm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Xiang et al. 21</w:t>
      </w:r>
      <w:r>
        <w:rPr>
          <w:b w:val="0"/>
          <w:i w:val="0"/>
          <w:smallCaps w:val="0"/>
          <w:strike w:val="0"/>
          <w:u w:val="none"/>
        </w:rPr>
        <w:t xml:space="preserve"> (Jun Xiang, College of Biomass Science and Engineering, Sichuan University, Chengdu, 610065, People’s Republic of China; Jianxun Lin, College of Biomass Science and Engineering, Sichuan University, Chengdu, 610065, People’s Republic of China; Zhonghui Wang, College of Biomass Science and Engineering, Sichuan University, Chengdu, 610065, People’s Republic of China; Qiang Yan, State Key Laboratory of Molecular Engineering of Polymers, Department of Macromolecular Science, Fudan University, Shanghai, 200433, People’s Republic of China; Yidong Liu, Dongtai City Fu’an Synthetize Material Co. Ltd., Yancheng, Jiangsu, People’s Republic of China; Haojun Fan, College of Biomass Science and Engineering, Sichuan University, Chengdu, 610065, People’s Republic of China, “Sustainable and invisible anti-counterfeiting inks based on waterborne polyurethane and upconversion nanoparticles for leather products,” Spinger Open, 15 December 2021, </w:t>
      </w:r>
      <w:r>
        <w:rPr>
          <w:b w:val="0"/>
          <w:i w:val="0"/>
          <w:smallCaps w:val="0"/>
          <w:strike w:val="0"/>
          <w:u w:val="none"/>
        </w:rPr>
        <w:t>https://doi.org/10.1186/s42825-021-00076-x</w:t>
      </w:r>
      <w:r>
        <w:rPr>
          <w:b w:val="0"/>
          <w:i w:val="0"/>
          <w:smallCaps w:val="0"/>
          <w:strike w:val="0"/>
          <w:u w:val="none"/>
        </w:rPr>
        <w:t>, Accessed: 7/2/24) SJR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Nowadays, an increasing number of counterfeit leather products are arising in the market</w:t>
      </w:r>
      <w:r>
        <w:rPr>
          <w:b w:val="0"/>
          <w:i w:val="0"/>
          <w:smallCaps w:val="0"/>
          <w:strike w:val="0"/>
          <w:u w:val="none"/>
        </w:rPr>
        <w:t xml:space="preserve">. 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To obtain high profits, </w:t>
      </w:r>
      <w:r>
        <w:rPr>
          <w:b w:val="0"/>
          <w:i w:val="0"/>
          <w:smallCaps w:val="0"/>
          <w:strike w:val="0"/>
          <w:u w:val="single"/>
        </w:rPr>
        <w:t xml:space="preserve">some 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illegal traders counterfeit </w:t>
      </w:r>
      <w:r>
        <w:rPr>
          <w:b w:val="0"/>
          <w:i w:val="0"/>
          <w:smallCaps w:val="0"/>
          <w:strike w:val="0"/>
          <w:u w:val="single"/>
        </w:rPr>
        <w:t xml:space="preserve">all kinds of bestselling leather </w:t>
      </w:r>
      <w:r>
        <w:rPr>
          <w:b w:val="0"/>
          <w:i w:val="0"/>
          <w:smallCaps w:val="0"/>
          <w:strike w:val="0"/>
          <w:highlight w:val="cyan"/>
          <w:u w:val="single"/>
        </w:rPr>
        <w:t>products, which infringes the intellectual property rights of the business, causes huge economic loss, and negatively influence the business enthusiasm for innovation</w:t>
      </w:r>
      <w:r>
        <w:rPr>
          <w:b w:val="0"/>
          <w:i w:val="0"/>
          <w:smallCaps w:val="0"/>
          <w:strike w:val="0"/>
          <w:u w:val="none"/>
        </w:rPr>
        <w:t xml:space="preserve"> [1–3].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So far, anti-counterfeiting technology has been an effective method to curb the spread of counterfeit products. However, the traditional anticounterfeiting technologies ranging from watermarks [4], holography [5–7], and two-dimensional barcodes [8], are difficult to reach the effective anti-counterfeiting purpose due to the simple preparation process and visible patterns. Invisible anti-counterfeiting materials have attracted the attention of researchers by their high concealment properties [9–11]. The most frequently used invisible anti-counterfeiting technology in leather products is to draw invisible anti-counterfeiting labels (ACLs) with organic fluorescent dyes [12]. Generally, such labels suffer from short service life due to the photobleaching of organic dyes under irradiation [13, 14]. One way to address this issue is to use fluorescent inorganic nanomaterials to prepare these invisible ACLs [15–17], e.g., quantum dots. However, they are toxic[13] and often require ultraviolet (UV) photons to achieve the anti-counterfeiting function. It is well known that UV light may cause the degradation of organic materials in the ACLs and shorten their service life [18–20]. Therefore, searching for a non-toxic inorganic material having good luminescent stability to prepare ACLs remains a grand challenge</w:t>
      </w:r>
    </w:p>
    <w:p>
      <w:pPr>
        <w:pStyle w:val="Caption"/>
      </w:pPr>
      <w:r>
        <w:t>Source: Business Confidence DA Updates - Michigan 2024 CPSW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