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rate of compliance is </w:t>
      </w:r>
      <w:r>
        <w:rPr>
          <w:b/>
          <w:i w:val="0"/>
          <w:smallCaps w:val="0"/>
          <w:strike w:val="0"/>
          <w:sz w:val="26"/>
          <w:u w:val="single"/>
        </w:rPr>
        <w:t>sky-high</w:t>
      </w:r>
      <w:r>
        <w:rPr>
          <w:b/>
          <w:i w:val="0"/>
          <w:smallCaps w:val="0"/>
          <w:strike w:val="0"/>
          <w:sz w:val="26"/>
          <w:u w:val="none"/>
        </w:rPr>
        <w:t>.</w:t>
      </w:r>
    </w:p>
    <w:p>
      <w:pPr>
        <w:spacing w:after="80"/>
      </w:pPr>
      <w:r>
        <w:rPr>
          <w:b/>
          <w:i w:val="0"/>
          <w:smallCaps w:val="0"/>
          <w:strike w:val="0"/>
          <w:sz w:val="26"/>
          <w:u w:val="none"/>
        </w:rPr>
        <w:t>Daniels ‘10</w:t>
      </w:r>
      <w:r>
        <w:rPr>
          <w:b w:val="0"/>
          <w:i w:val="0"/>
          <w:smallCaps w:val="0"/>
          <w:strike w:val="0"/>
          <w:u w:val="none"/>
        </w:rPr>
        <w:t xml:space="preserve"> [Brigham; 2010; Professor of Law at S.J. Quinney College of Law; Nicholas School of the Environment, Duke University, “</w:t>
      </w:r>
      <w:r>
        <w:rPr>
          <w:b w:val="0"/>
          <w:i w:val="0"/>
          <w:smallCaps w:val="0"/>
          <w:strike w:val="0"/>
          <w:u w:val="none"/>
        </w:rPr>
        <w:t>Credible Commitments, Credible Threats, and Environmental Policy</w:t>
      </w:r>
      <w:r>
        <w:rPr>
          <w:b w:val="0"/>
          <w:i w:val="0"/>
          <w:smallCaps w:val="0"/>
          <w:strike w:val="0"/>
          <w:u w:val="none"/>
        </w:rPr>
        <w:t>,” vol. 1] jchen</w:t>
      </w:r>
    </w:p>
    <w:p>
      <w:pPr>
        <w:spacing w:after="60"/>
      </w:pPr>
      <w:r>
        <w:rPr>
          <w:b w:val="0"/>
          <w:i w:val="0"/>
          <w:smallCaps w:val="0"/>
          <w:strike w:val="0"/>
          <w:sz w:val="16"/>
          <w:u w:val="none"/>
        </w:rPr>
        <w:t xml:space="preserve">Because the </w:t>
      </w:r>
      <w:r>
        <w:rPr>
          <w:b/>
          <w:i w:val="0"/>
          <w:smallCaps w:val="0"/>
          <w:strike w:val="0"/>
          <w:sz w:val="22"/>
          <w:highlight w:val="cyan"/>
          <w:u w:val="single"/>
        </w:rPr>
        <w:t>threat</w:t>
      </w:r>
      <w:r>
        <w:rPr>
          <w:b/>
          <w:i w:val="0"/>
          <w:smallCaps w:val="0"/>
          <w:strike w:val="0"/>
          <w:sz w:val="22"/>
          <w:highlight w:val="cyan"/>
          <w:u w:val="single"/>
        </w:rPr>
        <w:t xml:space="preserve"> of regulatory nukes is so </w:t>
      </w:r>
      <w:r>
        <w:rPr>
          <w:b/>
          <w:i w:val="0"/>
          <w:smallCaps w:val="0"/>
          <w:strike w:val="0"/>
          <w:sz w:val="22"/>
          <w:highlight w:val="cyan"/>
          <w:u w:val="single"/>
        </w:rPr>
        <w:t>great</w:t>
      </w:r>
      <w:r>
        <w:rPr>
          <w:b w:val="0"/>
          <w:i w:val="0"/>
          <w:smallCaps w:val="0"/>
          <w:strike w:val="0"/>
          <w:sz w:val="16"/>
          <w:u w:val="none"/>
        </w:rPr>
        <w:t xml:space="preserve">, it is easy to gloss over that very often when faced with a regulatory nuke, in the majority of circumstances, </w:t>
      </w:r>
      <w:r>
        <w:rPr>
          <w:b/>
          <w:i w:val="0"/>
          <w:smallCaps w:val="0"/>
          <w:strike w:val="0"/>
          <w:sz w:val="22"/>
          <w:u w:val="single"/>
        </w:rPr>
        <w:t xml:space="preserve">the </w:t>
      </w:r>
      <w:r>
        <w:rPr>
          <w:b/>
          <w:i w:val="0"/>
          <w:smallCaps w:val="0"/>
          <w:strike w:val="0"/>
          <w:sz w:val="22"/>
          <w:highlight w:val="cyan"/>
          <w:u w:val="single"/>
        </w:rPr>
        <w:t>end</w:t>
      </w:r>
      <w:r>
        <w:rPr>
          <w:b/>
          <w:i w:val="0"/>
          <w:smallCaps w:val="0"/>
          <w:strike w:val="0"/>
          <w:sz w:val="22"/>
          <w:highlight w:val="cyan"/>
          <w:u w:val="single"/>
        </w:rPr>
        <w:t xml:space="preserve"> result is </w:t>
      </w:r>
      <w:r>
        <w:rPr>
          <w:b/>
          <w:i w:val="0"/>
          <w:smallCaps w:val="0"/>
          <w:strike w:val="0"/>
          <w:sz w:val="22"/>
          <w:highlight w:val="cyan"/>
          <w:u w:val="single"/>
        </w:rPr>
        <w:t>compliance</w:t>
      </w:r>
      <w:r>
        <w:rPr>
          <w:b w:val="0"/>
          <w:i w:val="0"/>
          <w:smallCaps w:val="0"/>
          <w:strike w:val="0"/>
          <w:sz w:val="16"/>
          <w:u w:val="none"/>
        </w:rPr>
        <w:t xml:space="preserve">. Furthermore, often </w:t>
      </w:r>
      <w:r>
        <w:rPr>
          <w:b/>
          <w:i w:val="0"/>
          <w:smallCaps w:val="0"/>
          <w:strike w:val="0"/>
          <w:sz w:val="22"/>
          <w:u w:val="single"/>
        </w:rPr>
        <w:t xml:space="preserve">compliance is </w:t>
      </w:r>
      <w:r>
        <w:rPr>
          <w:b/>
          <w:i w:val="0"/>
          <w:smallCaps w:val="0"/>
          <w:strike w:val="0"/>
          <w:sz w:val="22"/>
          <w:highlight w:val="cyan"/>
          <w:u w:val="single"/>
        </w:rPr>
        <w:t xml:space="preserve">won the </w:t>
      </w:r>
      <w:r>
        <w:rPr>
          <w:b/>
          <w:i w:val="0"/>
          <w:smallCaps w:val="0"/>
          <w:strike w:val="0"/>
          <w:sz w:val="22"/>
          <w:highlight w:val="cyan"/>
          <w:u w:val="single"/>
        </w:rPr>
        <w:t>easy</w:t>
      </w:r>
      <w:r>
        <w:rPr>
          <w:b/>
          <w:i w:val="0"/>
          <w:smallCaps w:val="0"/>
          <w:strike w:val="0"/>
          <w:sz w:val="22"/>
          <w:highlight w:val="cyan"/>
          <w:u w:val="single"/>
        </w:rPr>
        <w:t xml:space="preserve"> way</w:t>
      </w:r>
      <w:r>
        <w:rPr>
          <w:b w:val="0"/>
          <w:i w:val="0"/>
          <w:smallCaps w:val="0"/>
          <w:strike w:val="0"/>
          <w:sz w:val="16"/>
          <w:u w:val="none"/>
        </w:rPr>
        <w:t xml:space="preserve">: </w:t>
      </w:r>
      <w:r>
        <w:rPr>
          <w:b/>
          <w:i w:val="0"/>
          <w:smallCaps w:val="0"/>
          <w:strike w:val="0"/>
          <w:sz w:val="22"/>
          <w:highlight w:val="cyan"/>
          <w:u w:val="single"/>
        </w:rPr>
        <w:t>without</w:t>
      </w:r>
      <w:r>
        <w:rPr>
          <w:b/>
          <w:i w:val="0"/>
          <w:smallCaps w:val="0"/>
          <w:strike w:val="0"/>
          <w:sz w:val="22"/>
          <w:u w:val="single"/>
        </w:rPr>
        <w:t xml:space="preserve"> the agency </w:t>
      </w:r>
      <w:r>
        <w:rPr>
          <w:b/>
          <w:i w:val="0"/>
          <w:smallCaps w:val="0"/>
          <w:strike w:val="0"/>
          <w:sz w:val="22"/>
          <w:highlight w:val="cyan"/>
          <w:u w:val="single"/>
        </w:rPr>
        <w:t>having to make a threat to the</w:t>
      </w:r>
      <w:r>
        <w:rPr>
          <w:b/>
          <w:i w:val="0"/>
          <w:smallCaps w:val="0"/>
          <w:strike w:val="0"/>
          <w:sz w:val="22"/>
          <w:u w:val="single"/>
        </w:rPr>
        <w:t xml:space="preserve"> individual</w:t>
      </w:r>
      <w:r>
        <w:rPr>
          <w:b w:val="0"/>
          <w:i w:val="0"/>
          <w:smallCaps w:val="0"/>
          <w:strike w:val="0"/>
          <w:sz w:val="16"/>
          <w:u w:val="none"/>
        </w:rPr>
        <w:t xml:space="preserve"> </w:t>
      </w:r>
      <w:r>
        <w:rPr>
          <w:b/>
          <w:i w:val="0"/>
          <w:smallCaps w:val="0"/>
          <w:strike w:val="0"/>
          <w:sz w:val="22"/>
          <w:highlight w:val="cyan"/>
          <w:u w:val="single"/>
        </w:rPr>
        <w:t>target</w:t>
      </w:r>
      <w:r>
        <w:rPr>
          <w:b w:val="0"/>
          <w:i w:val="0"/>
          <w:smallCaps w:val="0"/>
          <w:strike w:val="0"/>
          <w:sz w:val="16"/>
          <w:u w:val="none"/>
        </w:rPr>
        <w:t>.</w:t>
      </w:r>
    </w:p>
    <w:p>
      <w:pPr>
        <w:spacing w:after="60"/>
      </w:pPr>
      <w:r>
        <w:rPr>
          <w:b w:val="0"/>
          <w:i w:val="0"/>
          <w:smallCaps w:val="0"/>
          <w:strike w:val="0"/>
          <w:sz w:val="16"/>
          <w:u w:val="none"/>
        </w:rPr>
        <w:t>Consider a regulatory nuke that is more familiar to the average American than most—the prospect of prison time for tax evasion. In 2009, the IRS received nearly 140 million tax returns and only recommended that the Justice Department prosecute 1269 for criminal enforcement due to tax or tax related reasons (Internal Revenue Service, 2010). This represents less than one for every 100,000 returns submitted. Additionally, it seems unlikely that the IRS would pursue each of the recommended cases. Interestingly, the IRS only examined about one percent of the returns filed in detail (Internal Revenue Service, 2010). The vast majority of returns do not get audited. Most Americans do not need to be threatened directly in order to be convinced that paying federal taxes is necessary. The IRS gets compliance because Americans probably for a variety of reasons including, among others, commitment to honesty, a feeling of obligation, and fear of the consequences of not paying taxes. While the story of the citizen who is unwilling to pay taxes and who has cheated the system may get the attention of the media and public, the much more common story is less exciting: it is the story of compliance. In this case, and many like it, we overlook the story that defines the vast majority of potential regulatory targets and focus—if at all—on the story of the exception. With mushroom clouds on the horizon, it is easy to focus on it and neglect the rest of the world of possibilities.</w:t>
      </w:r>
    </w:p>
    <w:p>
      <w:pPr>
        <w:spacing w:after="60"/>
      </w:pPr>
      <w:r>
        <w:rPr>
          <w:b w:val="0"/>
          <w:i w:val="0"/>
          <w:smallCaps w:val="0"/>
          <w:strike w:val="0"/>
          <w:sz w:val="16"/>
          <w:u w:val="none"/>
        </w:rPr>
        <w:t xml:space="preserve">When </w:t>
      </w:r>
      <w:r>
        <w:rPr>
          <w:b/>
          <w:i w:val="0"/>
          <w:smallCaps w:val="0"/>
          <w:strike w:val="0"/>
          <w:sz w:val="22"/>
          <w:u w:val="single"/>
        </w:rPr>
        <w:t xml:space="preserve">commentators </w:t>
      </w:r>
      <w:r>
        <w:rPr>
          <w:b/>
          <w:i w:val="0"/>
          <w:smallCaps w:val="0"/>
          <w:strike w:val="0"/>
          <w:sz w:val="22"/>
          <w:highlight w:val="cyan"/>
          <w:u w:val="single"/>
        </w:rPr>
        <w:t>remark</w:t>
      </w:r>
      <w:r>
        <w:rPr>
          <w:b/>
          <w:i w:val="0"/>
          <w:smallCaps w:val="0"/>
          <w:strike w:val="0"/>
          <w:sz w:val="22"/>
          <w:highlight w:val="cyan"/>
          <w:u w:val="single"/>
        </w:rPr>
        <w:t xml:space="preserve"> at how </w:t>
      </w:r>
      <w:r>
        <w:rPr>
          <w:b/>
          <w:i w:val="0"/>
          <w:smallCaps w:val="0"/>
          <w:strike w:val="0"/>
          <w:sz w:val="22"/>
          <w:highlight w:val="cyan"/>
          <w:u w:val="single"/>
        </w:rPr>
        <w:t>infrequently</w:t>
      </w:r>
      <w:r>
        <w:rPr>
          <w:b/>
          <w:i w:val="0"/>
          <w:smallCaps w:val="0"/>
          <w:strike w:val="0"/>
          <w:sz w:val="22"/>
          <w:u w:val="single"/>
        </w:rPr>
        <w:t xml:space="preserve"> an </w:t>
      </w:r>
      <w:r>
        <w:rPr>
          <w:b/>
          <w:i w:val="0"/>
          <w:smallCaps w:val="0"/>
          <w:strike w:val="0"/>
          <w:sz w:val="22"/>
          <w:highlight w:val="cyan"/>
          <w:u w:val="single"/>
        </w:rPr>
        <w:t xml:space="preserve">agency </w:t>
      </w:r>
      <w:r>
        <w:rPr>
          <w:b/>
          <w:i w:val="0"/>
          <w:smallCaps w:val="0"/>
          <w:strike w:val="0"/>
          <w:sz w:val="22"/>
          <w:highlight w:val="cyan"/>
          <w:u w:val="single"/>
        </w:rPr>
        <w:t>uses</w:t>
      </w:r>
      <w:r>
        <w:rPr>
          <w:b/>
          <w:i w:val="0"/>
          <w:smallCaps w:val="0"/>
          <w:strike w:val="0"/>
          <w:sz w:val="22"/>
          <w:highlight w:val="cyan"/>
          <w:u w:val="single"/>
        </w:rPr>
        <w:t xml:space="preserve"> a</w:t>
      </w:r>
      <w:r>
        <w:rPr>
          <w:b/>
          <w:i w:val="0"/>
          <w:smallCaps w:val="0"/>
          <w:strike w:val="0"/>
          <w:sz w:val="22"/>
          <w:u w:val="single"/>
        </w:rPr>
        <w:t xml:space="preserve"> regulatory </w:t>
      </w:r>
      <w:r>
        <w:rPr>
          <w:b/>
          <w:i w:val="0"/>
          <w:smallCaps w:val="0"/>
          <w:strike w:val="0"/>
          <w:sz w:val="22"/>
          <w:highlight w:val="cyan"/>
          <w:u w:val="single"/>
        </w:rPr>
        <w:t>nuke</w:t>
      </w:r>
      <w:r>
        <w:rPr>
          <w:b w:val="0"/>
          <w:i w:val="0"/>
          <w:smallCaps w:val="0"/>
          <w:strike w:val="0"/>
          <w:sz w:val="16"/>
          <w:u w:val="none"/>
        </w:rPr>
        <w:t xml:space="preserve">, what is </w:t>
      </w:r>
      <w:r>
        <w:rPr>
          <w:b/>
          <w:i w:val="0"/>
          <w:smallCaps w:val="0"/>
          <w:strike w:val="0"/>
          <w:sz w:val="22"/>
          <w:highlight w:val="cyan"/>
          <w:u w:val="single"/>
        </w:rPr>
        <w:t>not</w:t>
      </w:r>
      <w:r>
        <w:rPr>
          <w:b w:val="0"/>
          <w:i w:val="0"/>
          <w:smallCaps w:val="0"/>
          <w:strike w:val="0"/>
          <w:sz w:val="16"/>
          <w:u w:val="none"/>
        </w:rPr>
        <w:t xml:space="preserve"> </w:t>
      </w:r>
      <w:r>
        <w:rPr>
          <w:b/>
          <w:i w:val="0"/>
          <w:smallCaps w:val="0"/>
          <w:strike w:val="0"/>
          <w:sz w:val="22"/>
          <w:highlight w:val="cyan"/>
          <w:u w:val="single"/>
        </w:rPr>
        <w:t>expressed</w:t>
      </w:r>
      <w:r>
        <w:rPr>
          <w:b w:val="0"/>
          <w:i w:val="0"/>
          <w:smallCaps w:val="0"/>
          <w:strike w:val="0"/>
          <w:sz w:val="16"/>
          <w:u w:val="none"/>
        </w:rPr>
        <w:t xml:space="preserve"> in those assessments is </w:t>
      </w:r>
      <w:r>
        <w:rPr>
          <w:b/>
          <w:i w:val="0"/>
          <w:smallCaps w:val="0"/>
          <w:strike w:val="0"/>
          <w:sz w:val="22"/>
          <w:u w:val="single"/>
        </w:rPr>
        <w:t xml:space="preserve">the </w:t>
      </w:r>
      <w:r>
        <w:rPr>
          <w:b/>
          <w:i w:val="0"/>
          <w:smallCaps w:val="0"/>
          <w:strike w:val="0"/>
          <w:sz w:val="22"/>
          <w:highlight w:val="cyan"/>
          <w:u w:val="single"/>
        </w:rPr>
        <w:t>rate</w:t>
      </w:r>
      <w:r>
        <w:rPr>
          <w:b/>
          <w:i w:val="0"/>
          <w:smallCaps w:val="0"/>
          <w:strike w:val="0"/>
          <w:sz w:val="22"/>
          <w:highlight w:val="cyan"/>
          <w:u w:val="single"/>
        </w:rPr>
        <w:t xml:space="preserve"> of compliance</w:t>
      </w:r>
      <w:r>
        <w:rPr>
          <w:b w:val="0"/>
          <w:i w:val="0"/>
          <w:smallCaps w:val="0"/>
          <w:strike w:val="0"/>
          <w:sz w:val="16"/>
          <w:u w:val="none"/>
        </w:rPr>
        <w:t xml:space="preserve">. In instances of extreme noncompliance, lack of use of a regulatory nuke does make the nuke like dead letter law. </w:t>
      </w:r>
      <w:r>
        <w:rPr>
          <w:b/>
          <w:i w:val="0"/>
          <w:smallCaps w:val="0"/>
          <w:strike w:val="0"/>
          <w:sz w:val="22"/>
          <w:u w:val="single"/>
        </w:rPr>
        <w:t>If</w:t>
      </w:r>
      <w:r>
        <w:rPr>
          <w:b w:val="0"/>
          <w:i w:val="0"/>
          <w:smallCaps w:val="0"/>
          <w:strike w:val="0"/>
          <w:sz w:val="16"/>
          <w:u w:val="none"/>
        </w:rPr>
        <w:t xml:space="preserve">, however, </w:t>
      </w:r>
      <w:r>
        <w:rPr>
          <w:b/>
          <w:i w:val="0"/>
          <w:smallCaps w:val="0"/>
          <w:strike w:val="0"/>
          <w:sz w:val="22"/>
          <w:u w:val="single"/>
        </w:rPr>
        <w:t xml:space="preserve">compliance is </w:t>
      </w:r>
      <w:r>
        <w:rPr>
          <w:b/>
          <w:i w:val="0"/>
          <w:smallCaps w:val="0"/>
          <w:strike w:val="0"/>
          <w:sz w:val="22"/>
          <w:highlight w:val="cyan"/>
          <w:u w:val="single"/>
        </w:rPr>
        <w:t>high</w:t>
      </w:r>
      <w:r>
        <w:rPr>
          <w:b w:val="0"/>
          <w:i w:val="0"/>
          <w:smallCaps w:val="0"/>
          <w:strike w:val="0"/>
          <w:sz w:val="16"/>
          <w:u w:val="none"/>
        </w:rPr>
        <w:t xml:space="preserve">, as it </w:t>
      </w:r>
      <w:r>
        <w:rPr>
          <w:b/>
          <w:i w:val="0"/>
          <w:smallCaps w:val="0"/>
          <w:strike w:val="0"/>
          <w:sz w:val="22"/>
          <w:u w:val="single"/>
        </w:rPr>
        <w:t xml:space="preserve">seems to be </w:t>
      </w:r>
      <w:r>
        <w:rPr>
          <w:b/>
          <w:i w:val="0"/>
          <w:smallCaps w:val="0"/>
          <w:strike w:val="0"/>
          <w:sz w:val="22"/>
          <w:highlight w:val="cyan"/>
          <w:u w:val="single"/>
        </w:rPr>
        <w:t>in the</w:t>
      </w:r>
      <w:r>
        <w:rPr>
          <w:b w:val="0"/>
          <w:i w:val="0"/>
          <w:smallCaps w:val="0"/>
          <w:strike w:val="0"/>
          <w:sz w:val="16"/>
          <w:u w:val="none"/>
        </w:rPr>
        <w:t xml:space="preserve"> context of the </w:t>
      </w:r>
      <w:r>
        <w:rPr>
          <w:b/>
          <w:i w:val="0"/>
          <w:smallCaps w:val="0"/>
          <w:strike w:val="0"/>
          <w:sz w:val="22"/>
          <w:highlight w:val="cyan"/>
          <w:u w:val="single"/>
        </w:rPr>
        <w:t xml:space="preserve">federal </w:t>
      </w:r>
      <w:r>
        <w:rPr>
          <w:b/>
          <w:i w:val="0"/>
          <w:smallCaps w:val="0"/>
          <w:strike w:val="0"/>
          <w:sz w:val="22"/>
          <w:highlight w:val="cyan"/>
          <w:u w:val="single"/>
        </w:rPr>
        <w:t>tax</w:t>
      </w:r>
      <w:r>
        <w:rPr>
          <w:b/>
          <w:i w:val="0"/>
          <w:smallCaps w:val="0"/>
          <w:strike w:val="0"/>
          <w:sz w:val="22"/>
          <w:u w:val="single"/>
        </w:rPr>
        <w:t xml:space="preserve"> </w:t>
      </w:r>
      <w:r>
        <w:rPr>
          <w:b/>
          <w:i w:val="0"/>
          <w:smallCaps w:val="0"/>
          <w:strike w:val="0"/>
          <w:sz w:val="22"/>
          <w:highlight w:val="cyan"/>
          <w:u w:val="single"/>
        </w:rPr>
        <w:t>system</w:t>
      </w:r>
      <w:r>
        <w:rPr>
          <w:b w:val="0"/>
          <w:i w:val="0"/>
          <w:smallCaps w:val="0"/>
          <w:strike w:val="0"/>
          <w:sz w:val="16"/>
          <w:u w:val="none"/>
        </w:rPr>
        <w:t xml:space="preserve">, it may just be a </w:t>
      </w:r>
      <w:r>
        <w:rPr>
          <w:b/>
          <w:i w:val="0"/>
          <w:smallCaps w:val="0"/>
          <w:strike w:val="0"/>
          <w:sz w:val="22"/>
          <w:u w:val="single"/>
        </w:rPr>
        <w:t xml:space="preserve">reflection that an </w:t>
      </w:r>
      <w:r>
        <w:rPr>
          <w:b/>
          <w:i w:val="0"/>
          <w:smallCaps w:val="0"/>
          <w:strike w:val="0"/>
          <w:sz w:val="22"/>
          <w:highlight w:val="cyan"/>
          <w:u w:val="single"/>
        </w:rPr>
        <w:t>agency</w:t>
      </w:r>
      <w:r>
        <w:rPr>
          <w:b/>
          <w:i w:val="0"/>
          <w:smallCaps w:val="0"/>
          <w:strike w:val="0"/>
          <w:sz w:val="22"/>
          <w:u w:val="single"/>
        </w:rPr>
        <w:t xml:space="preserve"> is </w:t>
      </w:r>
      <w:r>
        <w:rPr>
          <w:b/>
          <w:i w:val="0"/>
          <w:smallCaps w:val="0"/>
          <w:strike w:val="0"/>
          <w:sz w:val="22"/>
          <w:highlight w:val="cyan"/>
          <w:u w:val="single"/>
        </w:rPr>
        <w:t>good at</w:t>
      </w:r>
      <w:r>
        <w:rPr>
          <w:b w:val="0"/>
          <w:i w:val="0"/>
          <w:smallCaps w:val="0"/>
          <w:strike w:val="0"/>
          <w:sz w:val="16"/>
          <w:highlight w:val="cyan"/>
          <w:u w:val="none"/>
        </w:rPr>
        <w:t xml:space="preserve"> </w:t>
      </w:r>
      <w:r>
        <w:rPr>
          <w:b/>
          <w:i w:val="0"/>
          <w:smallCaps w:val="0"/>
          <w:strike w:val="0"/>
          <w:sz w:val="22"/>
          <w:highlight w:val="cyan"/>
          <w:u w:val="single"/>
        </w:rPr>
        <w:t>leveraging the</w:t>
      </w:r>
      <w:r>
        <w:rPr>
          <w:b/>
          <w:i w:val="0"/>
          <w:smallCaps w:val="0"/>
          <w:strike w:val="0"/>
          <w:sz w:val="22"/>
          <w:u w:val="single"/>
        </w:rPr>
        <w:t xml:space="preserve"> </w:t>
      </w:r>
      <w:r>
        <w:rPr>
          <w:b/>
          <w:i w:val="0"/>
          <w:smallCaps w:val="0"/>
          <w:strike w:val="0"/>
          <w:sz w:val="22"/>
          <w:u w:val="single"/>
        </w:rPr>
        <w:t xml:space="preserve">regulatory </w:t>
      </w:r>
      <w:r>
        <w:rPr>
          <w:b/>
          <w:i w:val="0"/>
          <w:smallCaps w:val="0"/>
          <w:strike w:val="0"/>
          <w:sz w:val="22"/>
          <w:highlight w:val="cyan"/>
          <w:u w:val="single"/>
        </w:rPr>
        <w:t>nuke</w:t>
      </w:r>
      <w:r>
        <w:rPr>
          <w:b w:val="0"/>
          <w:i w:val="0"/>
          <w:smallCaps w:val="0"/>
          <w:strike w:val="0"/>
          <w:sz w:val="16"/>
          <w:u w:val="none"/>
        </w:rPr>
        <w:t>. As</w:t>
      </w:r>
      <w:r>
        <w:rPr>
          <w:b w:val="0"/>
          <w:i w:val="0"/>
          <w:smallCaps w:val="0"/>
          <w:strike w:val="0"/>
          <w:sz w:val="16"/>
          <w:u w:val="none"/>
        </w:rPr>
        <w:t xml:space="preserve"> Schelling has made clear, we do not need to launch nuclear war heads to use them. Rather, nuclear missiles have uses beyond warfare, they also hold potential in exploiting the “diplomatic use of potential violence” (Schelling, 2008/1966, ix). “The </w:t>
      </w:r>
      <w:r>
        <w:rPr>
          <w:b/>
          <w:i w:val="0"/>
          <w:smallCaps w:val="0"/>
          <w:strike w:val="0"/>
          <w:sz w:val="22"/>
          <w:highlight w:val="cyan"/>
          <w:u w:val="single"/>
        </w:rPr>
        <w:t>power to hurt is</w:t>
      </w:r>
      <w:r>
        <w:rPr>
          <w:b w:val="0"/>
          <w:i w:val="0"/>
          <w:smallCaps w:val="0"/>
          <w:strike w:val="0"/>
          <w:sz w:val="16"/>
          <w:highlight w:val="cyan"/>
          <w:u w:val="none"/>
        </w:rPr>
        <w:t xml:space="preserve"> </w:t>
      </w:r>
      <w:r>
        <w:rPr>
          <w:b/>
          <w:i w:val="0"/>
          <w:smallCaps w:val="0"/>
          <w:strike w:val="0"/>
          <w:sz w:val="22"/>
          <w:highlight w:val="cyan"/>
          <w:u w:val="single"/>
        </w:rPr>
        <w:t>bargaining</w:t>
      </w:r>
      <w:r>
        <w:rPr>
          <w:b/>
          <w:i w:val="0"/>
          <w:smallCaps w:val="0"/>
          <w:strike w:val="0"/>
          <w:sz w:val="22"/>
          <w:u w:val="single"/>
        </w:rPr>
        <w:t xml:space="preserve"> </w:t>
      </w:r>
      <w:r>
        <w:rPr>
          <w:b/>
          <w:i w:val="0"/>
          <w:smallCaps w:val="0"/>
          <w:strike w:val="0"/>
          <w:sz w:val="22"/>
          <w:highlight w:val="cyan"/>
          <w:u w:val="single"/>
        </w:rPr>
        <w:t>power</w:t>
      </w:r>
      <w:r>
        <w:rPr>
          <w:b w:val="0"/>
          <w:i w:val="0"/>
          <w:smallCaps w:val="0"/>
          <w:strike w:val="0"/>
          <w:sz w:val="16"/>
          <w:u w:val="none"/>
        </w:rPr>
        <w:t xml:space="preserve">. To </w:t>
      </w:r>
      <w:r>
        <w:rPr>
          <w:b/>
          <w:i w:val="0"/>
          <w:smallCaps w:val="0"/>
          <w:strike w:val="0"/>
          <w:sz w:val="22"/>
          <w:u w:val="single"/>
        </w:rPr>
        <w:t xml:space="preserve">exploit it is </w:t>
      </w:r>
      <w:r>
        <w:rPr>
          <w:b/>
          <w:i w:val="0"/>
          <w:smallCaps w:val="0"/>
          <w:strike w:val="0"/>
          <w:sz w:val="22"/>
          <w:u w:val="single"/>
        </w:rPr>
        <w:t>diplomacy</w:t>
      </w:r>
      <w:r>
        <w:rPr>
          <w:b w:val="0"/>
          <w:i w:val="0"/>
          <w:smallCaps w:val="0"/>
          <w:strike w:val="0"/>
          <w:sz w:val="16"/>
          <w:u w:val="none"/>
        </w:rPr>
        <w:t>—vicious diplomacy, but diplomacy” (Schelling, 2008/1966, 2).</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