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response</w:t>
      </w:r>
      <w:r>
        <w:rPr>
          <w:b/>
          <w:i w:val="0"/>
          <w:smallCaps w:val="0"/>
          <w:strike w:val="0"/>
          <w:sz w:val="26"/>
          <w:u w:val="none"/>
        </w:rPr>
        <w:t xml:space="preserve"> is </w:t>
      </w:r>
      <w:r>
        <w:rPr>
          <w:b/>
          <w:i w:val="0"/>
          <w:smallCaps w:val="0"/>
          <w:strike w:val="0"/>
          <w:sz w:val="26"/>
          <w:u w:val="single"/>
        </w:rPr>
        <w:t>equivalent</w:t>
      </w:r>
      <w:r>
        <w:rPr>
          <w:b/>
          <w:i w:val="0"/>
          <w:smallCaps w:val="0"/>
          <w:strike w:val="0"/>
          <w:sz w:val="26"/>
          <w:u w:val="none"/>
        </w:rPr>
        <w:t>.</w:t>
      </w:r>
    </w:p>
    <w:p>
      <w:pPr>
        <w:spacing w:after="80"/>
      </w:pPr>
      <w:r>
        <w:rPr>
          <w:b/>
          <w:i w:val="0"/>
          <w:smallCaps w:val="0"/>
          <w:strike w:val="0"/>
          <w:sz w:val="26"/>
          <w:u w:val="none"/>
        </w:rPr>
        <w:t xml:space="preserve">Rixen ’21 </w:t>
      </w:r>
      <w:r>
        <w:rPr>
          <w:b w:val="0"/>
          <w:i w:val="0"/>
          <w:smallCaps w:val="0"/>
          <w:strike w:val="0"/>
          <w:u w:val="none"/>
        </w:rPr>
        <w:t>[Thomas and Brigitte Unger; July 2021; Ph.D. and Professor at the Otto Suhr Institute for Political Science at the Freie Universität Berlin; Chair of Public Sector Economics at the Utrecht University School of Economics; Regulation and Governance, “Taxation: A Regulatory Multilevel Governance Perspective,” p. 1-2]</w:t>
      </w:r>
    </w:p>
    <w:p>
      <w:pPr>
        <w:spacing w:after="60"/>
      </w:pPr>
      <w:r>
        <w:rPr>
          <w:b w:val="0"/>
          <w:i w:val="0"/>
          <w:smallCaps w:val="0"/>
          <w:strike w:val="0"/>
          <w:sz w:val="16"/>
          <w:u w:val="none"/>
        </w:rPr>
        <w:t xml:space="preserve">Many introductory and foundational texts in the political and administrative sciences present taxation and regulation as distinct instruments of governance (e.g., Lowi 1972; Hood 1986; Knill &amp; Tosun 2012). Regulation is understood as rules proscribing certain behaviors and sanctioning others. It is justified in terms of protecting the public interest and usually takes the form of laws, but may also include standards, principles and norms (cf. Levi-Faur 2011: pp. 4–6). In contrast, taxation works through the medium of money and shapes individual behavior through material incentives that leave actors leeway to act according to their individual cost–benefit calculations. While </w:t>
      </w:r>
      <w:r>
        <w:rPr>
          <w:b/>
          <w:i w:val="0"/>
          <w:smallCaps w:val="0"/>
          <w:strike w:val="0"/>
          <w:sz w:val="22"/>
          <w:u w:val="single"/>
        </w:rPr>
        <w:t xml:space="preserve">this </w:t>
      </w:r>
      <w:r>
        <w:rPr>
          <w:b/>
          <w:i w:val="0"/>
          <w:smallCaps w:val="0"/>
          <w:strike w:val="0"/>
          <w:sz w:val="22"/>
          <w:highlight w:val="cyan"/>
          <w:u w:val="single"/>
        </w:rPr>
        <w:t>distinction</w:t>
      </w:r>
      <w:r>
        <w:rPr>
          <w:b w:val="0"/>
          <w:i w:val="0"/>
          <w:smallCaps w:val="0"/>
          <w:strike w:val="0"/>
          <w:sz w:val="16"/>
          <w:u w:val="none"/>
        </w:rPr>
        <w:t xml:space="preserve"> certainly makes sense, it </w:t>
      </w:r>
      <w:r>
        <w:rPr>
          <w:b/>
          <w:i w:val="0"/>
          <w:smallCaps w:val="0"/>
          <w:strike w:val="0"/>
          <w:sz w:val="22"/>
          <w:highlight w:val="cyan"/>
          <w:u w:val="single"/>
        </w:rPr>
        <w:t>collapses</w:t>
      </w:r>
      <w:r>
        <w:rPr>
          <w:b/>
          <w:i w:val="0"/>
          <w:smallCaps w:val="0"/>
          <w:strike w:val="0"/>
          <w:sz w:val="22"/>
          <w:u w:val="single"/>
        </w:rPr>
        <w:t xml:space="preserve"> if one steps back to take a broader perspective. First, </w:t>
      </w:r>
      <w:r>
        <w:rPr>
          <w:b/>
          <w:i w:val="0"/>
          <w:smallCaps w:val="0"/>
          <w:strike w:val="0"/>
          <w:sz w:val="22"/>
          <w:highlight w:val="cyan"/>
          <w:u w:val="single"/>
        </w:rPr>
        <w:t>like regulation, taxation</w:t>
      </w:r>
      <w:r>
        <w:rPr>
          <w:b/>
          <w:i w:val="0"/>
          <w:smallCaps w:val="0"/>
          <w:strike w:val="0"/>
          <w:sz w:val="22"/>
          <w:u w:val="single"/>
        </w:rPr>
        <w:t xml:space="preserve"> is based on laws, standards, principles, and norms. Tax law </w:t>
      </w:r>
      <w:r>
        <w:rPr>
          <w:b/>
          <w:i w:val="0"/>
          <w:smallCaps w:val="0"/>
          <w:strike w:val="0"/>
          <w:sz w:val="22"/>
          <w:highlight w:val="cyan"/>
          <w:u w:val="single"/>
        </w:rPr>
        <w:t xml:space="preserve">is </w:t>
      </w:r>
      <w:r>
        <w:rPr>
          <w:b/>
          <w:i w:val="0"/>
          <w:smallCaps w:val="0"/>
          <w:strike w:val="0"/>
          <w:sz w:val="22"/>
          <w:highlight w:val="cyan"/>
          <w:u w:val="single"/>
        </w:rPr>
        <w:t>backed</w:t>
      </w:r>
      <w:r>
        <w:rPr>
          <w:b/>
          <w:i w:val="0"/>
          <w:smallCaps w:val="0"/>
          <w:strike w:val="0"/>
          <w:sz w:val="22"/>
          <w:highlight w:val="cyan"/>
          <w:u w:val="single"/>
        </w:rPr>
        <w:t xml:space="preserve"> by </w:t>
      </w:r>
      <w:r>
        <w:rPr>
          <w:b/>
          <w:i w:val="0"/>
          <w:smallCaps w:val="0"/>
          <w:strike w:val="0"/>
          <w:sz w:val="22"/>
          <w:highlight w:val="cyan"/>
          <w:u w:val="single"/>
        </w:rPr>
        <w:t>sanctions threats</w:t>
      </w:r>
      <w:r>
        <w:rPr>
          <w:b/>
          <w:i w:val="0"/>
          <w:smallCaps w:val="0"/>
          <w:strike w:val="0"/>
          <w:sz w:val="22"/>
          <w:highlight w:val="cyan"/>
          <w:u w:val="single"/>
        </w:rPr>
        <w:t xml:space="preserve"> and</w:t>
      </w:r>
      <w:r>
        <w:rPr>
          <w:b/>
          <w:i w:val="0"/>
          <w:smallCaps w:val="0"/>
          <w:strike w:val="0"/>
          <w:sz w:val="22"/>
          <w:u w:val="single"/>
        </w:rPr>
        <w:t xml:space="preserve"> (ultimately) </w:t>
      </w:r>
      <w:r>
        <w:rPr>
          <w:b/>
          <w:i w:val="0"/>
          <w:smallCaps w:val="0"/>
          <w:strike w:val="0"/>
          <w:sz w:val="22"/>
          <w:highlight w:val="cyan"/>
          <w:u w:val="single"/>
        </w:rPr>
        <w:t>state coercion</w:t>
      </w:r>
      <w:r>
        <w:rPr>
          <w:b/>
          <w:i w:val="0"/>
          <w:smallCaps w:val="0"/>
          <w:strike w:val="0"/>
          <w:sz w:val="22"/>
          <w:u w:val="single"/>
        </w:rPr>
        <w:t xml:space="preserve">. It is </w:t>
      </w:r>
      <w:r>
        <w:rPr>
          <w:b/>
          <w:i w:val="0"/>
          <w:smallCaps w:val="0"/>
          <w:strike w:val="0"/>
          <w:sz w:val="22"/>
          <w:highlight w:val="cyan"/>
          <w:u w:val="single"/>
        </w:rPr>
        <w:t>legitimized</w:t>
      </w:r>
      <w:r>
        <w:rPr>
          <w:b/>
          <w:i w:val="0"/>
          <w:smallCaps w:val="0"/>
          <w:strike w:val="0"/>
          <w:sz w:val="22"/>
          <w:highlight w:val="cyan"/>
          <w:u w:val="single"/>
        </w:rPr>
        <w:t xml:space="preserve"> by</w:t>
      </w:r>
      <w:r>
        <w:rPr>
          <w:b/>
          <w:i w:val="0"/>
          <w:smallCaps w:val="0"/>
          <w:strike w:val="0"/>
          <w:sz w:val="22"/>
          <w:u w:val="single"/>
        </w:rPr>
        <w:t xml:space="preserve"> </w:t>
      </w:r>
      <w:r>
        <w:rPr>
          <w:b/>
          <w:i w:val="0"/>
          <w:smallCaps w:val="0"/>
          <w:strike w:val="0"/>
          <w:sz w:val="22"/>
          <w:u w:val="single"/>
        </w:rPr>
        <w:t>reference</w:t>
      </w:r>
      <w:r>
        <w:rPr>
          <w:b/>
          <w:i w:val="0"/>
          <w:smallCaps w:val="0"/>
          <w:strike w:val="0"/>
          <w:sz w:val="22"/>
          <w:u w:val="single"/>
        </w:rPr>
        <w:t xml:space="preserve"> to the </w:t>
      </w:r>
      <w:r>
        <w:rPr>
          <w:b/>
          <w:i w:val="0"/>
          <w:smallCaps w:val="0"/>
          <w:strike w:val="0"/>
          <w:sz w:val="22"/>
          <w:highlight w:val="cyan"/>
          <w:u w:val="single"/>
        </w:rPr>
        <w:t>public interest</w:t>
      </w:r>
      <w:r>
        <w:rPr>
          <w:b w:val="0"/>
          <w:i w:val="0"/>
          <w:smallCaps w:val="0"/>
          <w:strike w:val="0"/>
          <w:sz w:val="16"/>
          <w:u w:val="none"/>
        </w:rPr>
        <w:t xml:space="preserve">. Second, </w:t>
      </w:r>
      <w:r>
        <w:rPr>
          <w:b/>
          <w:i w:val="0"/>
          <w:smallCaps w:val="0"/>
          <w:strike w:val="0"/>
          <w:sz w:val="22"/>
          <w:u w:val="single"/>
        </w:rPr>
        <w:t xml:space="preserve">while the primary objective of </w:t>
      </w:r>
      <w:r>
        <w:rPr>
          <w:b/>
          <w:i w:val="0"/>
          <w:smallCaps w:val="0"/>
          <w:strike w:val="0"/>
          <w:sz w:val="22"/>
          <w:highlight w:val="cyan"/>
          <w:u w:val="single"/>
        </w:rPr>
        <w:t>taxes</w:t>
      </w:r>
      <w:r>
        <w:rPr>
          <w:b w:val="0"/>
          <w:i w:val="0"/>
          <w:smallCaps w:val="0"/>
          <w:strike w:val="0"/>
          <w:sz w:val="16"/>
          <w:u w:val="none"/>
        </w:rPr>
        <w:t xml:space="preserve"> – with the important exception of environmental and sin or health taxes – </w:t>
      </w:r>
      <w:r>
        <w:rPr>
          <w:b/>
          <w:i w:val="0"/>
          <w:smallCaps w:val="0"/>
          <w:strike w:val="0"/>
          <w:sz w:val="22"/>
          <w:u w:val="single"/>
        </w:rPr>
        <w:t xml:space="preserve">may be to raise revenues, they </w:t>
      </w:r>
      <w:r>
        <w:rPr>
          <w:b/>
          <w:i w:val="0"/>
          <w:smallCaps w:val="0"/>
          <w:strike w:val="0"/>
          <w:sz w:val="22"/>
          <w:highlight w:val="cyan"/>
          <w:u w:val="single"/>
        </w:rPr>
        <w:t>discourage</w:t>
      </w:r>
      <w:r>
        <w:rPr>
          <w:b/>
          <w:i w:val="0"/>
          <w:smallCaps w:val="0"/>
          <w:strike w:val="0"/>
          <w:sz w:val="22"/>
          <w:u w:val="single"/>
        </w:rPr>
        <w:t xml:space="preserve"> the taxed </w:t>
      </w:r>
      <w:r>
        <w:rPr>
          <w:b/>
          <w:i w:val="0"/>
          <w:smallCaps w:val="0"/>
          <w:strike w:val="0"/>
          <w:sz w:val="22"/>
          <w:highlight w:val="cyan"/>
          <w:u w:val="single"/>
        </w:rPr>
        <w:t>activity and</w:t>
      </w:r>
      <w:r>
        <w:rPr>
          <w:b/>
          <w:i w:val="0"/>
          <w:smallCaps w:val="0"/>
          <w:strike w:val="0"/>
          <w:sz w:val="22"/>
          <w:u w:val="single"/>
        </w:rPr>
        <w:t xml:space="preserve"> thus </w:t>
      </w:r>
      <w:r>
        <w:rPr>
          <w:b/>
          <w:i w:val="0"/>
          <w:smallCaps w:val="0"/>
          <w:strike w:val="0"/>
          <w:sz w:val="22"/>
          <w:highlight w:val="cyan"/>
          <w:u w:val="single"/>
        </w:rPr>
        <w:t>shape</w:t>
      </w:r>
      <w:r>
        <w:rPr>
          <w:b/>
          <w:i w:val="0"/>
          <w:smallCaps w:val="0"/>
          <w:strike w:val="0"/>
          <w:sz w:val="22"/>
          <w:u w:val="single"/>
        </w:rPr>
        <w:t xml:space="preserve"> individuals' or firms' </w:t>
      </w:r>
      <w:r>
        <w:rPr>
          <w:b/>
          <w:i w:val="0"/>
          <w:smallCaps w:val="0"/>
          <w:strike w:val="0"/>
          <w:sz w:val="22"/>
          <w:highlight w:val="cyan"/>
          <w:u w:val="single"/>
        </w:rPr>
        <w:t>behavior</w:t>
      </w:r>
      <w:r>
        <w:rPr>
          <w:b/>
          <w:i w:val="0"/>
          <w:smallCaps w:val="0"/>
          <w:strike w:val="0"/>
          <w:sz w:val="22"/>
          <w:u w:val="single"/>
        </w:rPr>
        <w:t xml:space="preserve">, that is, </w:t>
      </w:r>
      <w:r>
        <w:rPr>
          <w:b/>
          <w:i w:val="0"/>
          <w:smallCaps w:val="0"/>
          <w:strike w:val="0"/>
          <w:sz w:val="22"/>
          <w:highlight w:val="cyan"/>
          <w:u w:val="single"/>
        </w:rPr>
        <w:t xml:space="preserve">they have </w:t>
      </w:r>
      <w:r>
        <w:rPr>
          <w:b/>
          <w:i w:val="0"/>
          <w:smallCaps w:val="0"/>
          <w:strike w:val="0"/>
          <w:sz w:val="22"/>
          <w:highlight w:val="cyan"/>
          <w:u w:val="single"/>
        </w:rPr>
        <w:t>regulatory impacts</w:t>
      </w:r>
      <w:r>
        <w:rPr>
          <w:b w:val="0"/>
          <w:i w:val="0"/>
          <w:smallCaps w:val="0"/>
          <w:strike w:val="0"/>
          <w:sz w:val="16"/>
          <w:u w:val="none"/>
        </w:rPr>
        <w:t xml:space="preserve"> (Barnett &amp; Yandle 2004). </w:t>
      </w:r>
      <w:r>
        <w:rPr>
          <w:b/>
          <w:i w:val="0"/>
          <w:smallCaps w:val="0"/>
          <w:strike w:val="0"/>
          <w:sz w:val="22"/>
          <w:highlight w:val="cyan"/>
          <w:u w:val="single"/>
        </w:rPr>
        <w:t>Likewise</w:t>
      </w:r>
      <w:r>
        <w:rPr>
          <w:b/>
          <w:i w:val="0"/>
          <w:smallCaps w:val="0"/>
          <w:strike w:val="0"/>
          <w:sz w:val="22"/>
          <w:u w:val="single"/>
        </w:rPr>
        <w:t xml:space="preserve">, while the primary purpose of </w:t>
      </w:r>
      <w:r>
        <w:rPr>
          <w:b/>
          <w:i w:val="0"/>
          <w:smallCaps w:val="0"/>
          <w:strike w:val="0"/>
          <w:sz w:val="22"/>
          <w:highlight w:val="cyan"/>
          <w:u w:val="single"/>
        </w:rPr>
        <w:t>regulation</w:t>
      </w:r>
      <w:r>
        <w:rPr>
          <w:b/>
          <w:i w:val="0"/>
          <w:smallCaps w:val="0"/>
          <w:strike w:val="0"/>
          <w:sz w:val="22"/>
          <w:u w:val="single"/>
        </w:rPr>
        <w:t xml:space="preserve"> is to </w:t>
      </w:r>
      <w:r>
        <w:rPr>
          <w:b/>
          <w:i w:val="0"/>
          <w:smallCaps w:val="0"/>
          <w:strike w:val="0"/>
          <w:sz w:val="22"/>
          <w:u w:val="single"/>
        </w:rPr>
        <w:t>proscribe</w:t>
      </w:r>
      <w:r>
        <w:rPr>
          <w:b/>
          <w:i w:val="0"/>
          <w:smallCaps w:val="0"/>
          <w:strike w:val="0"/>
          <w:sz w:val="22"/>
          <w:u w:val="single"/>
        </w:rPr>
        <w:t xml:space="preserve"> certain behaviors, they </w:t>
      </w:r>
      <w:r>
        <w:rPr>
          <w:b/>
          <w:i w:val="0"/>
          <w:smallCaps w:val="0"/>
          <w:strike w:val="0"/>
          <w:sz w:val="22"/>
          <w:highlight w:val="cyan"/>
          <w:u w:val="single"/>
        </w:rPr>
        <w:t xml:space="preserve">can be </w:t>
      </w:r>
      <w:r>
        <w:rPr>
          <w:b/>
          <w:i w:val="0"/>
          <w:smallCaps w:val="0"/>
          <w:strike w:val="0"/>
          <w:sz w:val="22"/>
          <w:highlight w:val="cyan"/>
          <w:u w:val="single"/>
        </w:rPr>
        <w:t>understood</w:t>
      </w:r>
      <w:r>
        <w:rPr>
          <w:b/>
          <w:i w:val="0"/>
          <w:smallCaps w:val="0"/>
          <w:strike w:val="0"/>
          <w:sz w:val="22"/>
          <w:highlight w:val="cyan"/>
          <w:u w:val="single"/>
        </w:rPr>
        <w:t xml:space="preserve"> as </w:t>
      </w:r>
      <w:r>
        <w:rPr>
          <w:b/>
          <w:i w:val="0"/>
          <w:smallCaps w:val="0"/>
          <w:strike w:val="0"/>
          <w:sz w:val="22"/>
          <w:highlight w:val="cyan"/>
          <w:u w:val="single"/>
        </w:rPr>
        <w:t>implicit taxes</w:t>
      </w:r>
      <w:r>
        <w:rPr>
          <w:b w:val="0"/>
          <w:i w:val="0"/>
          <w:smallCaps w:val="0"/>
          <w:strike w:val="0"/>
          <w:sz w:val="16"/>
          <w:u w:val="none"/>
        </w:rPr>
        <w:t xml:space="preserve"> (Posner 1971). </w:t>
      </w:r>
      <w:r>
        <w:rPr>
          <w:b/>
          <w:i w:val="0"/>
          <w:smallCaps w:val="0"/>
          <w:strike w:val="0"/>
          <w:sz w:val="22"/>
          <w:highlight w:val="cyan"/>
          <w:u w:val="single"/>
        </w:rPr>
        <w:t xml:space="preserve">“From the </w:t>
      </w:r>
      <w:r>
        <w:rPr>
          <w:b/>
          <w:i w:val="0"/>
          <w:smallCaps w:val="0"/>
          <w:strike w:val="0"/>
          <w:sz w:val="22"/>
          <w:highlight w:val="cyan"/>
          <w:u w:val="single"/>
        </w:rPr>
        <w:t>standpoint</w:t>
      </w:r>
      <w:r>
        <w:rPr>
          <w:b/>
          <w:i w:val="0"/>
          <w:smallCaps w:val="0"/>
          <w:strike w:val="0"/>
          <w:sz w:val="22"/>
          <w:highlight w:val="cyan"/>
          <w:u w:val="single"/>
        </w:rPr>
        <w:t xml:space="preserve"> of</w:t>
      </w:r>
      <w:r>
        <w:rPr>
          <w:b/>
          <w:i w:val="0"/>
          <w:smallCaps w:val="0"/>
          <w:strike w:val="0"/>
          <w:sz w:val="22"/>
          <w:u w:val="single"/>
        </w:rPr>
        <w:t xml:space="preserve"> the </w:t>
      </w:r>
      <w:r>
        <w:rPr>
          <w:b/>
          <w:i w:val="0"/>
          <w:smallCaps w:val="0"/>
          <w:strike w:val="0"/>
          <w:sz w:val="22"/>
          <w:highlight w:val="cyan"/>
          <w:u w:val="single"/>
        </w:rPr>
        <w:t>affected</w:t>
      </w:r>
      <w:r>
        <w:rPr>
          <w:b w:val="0"/>
          <w:i w:val="0"/>
          <w:smallCaps w:val="0"/>
          <w:strike w:val="0"/>
          <w:u w:val="none"/>
        </w:rPr>
        <w:t xml:space="preserve"> individual or </w:t>
      </w:r>
      <w:r>
        <w:rPr>
          <w:b/>
          <w:i w:val="0"/>
          <w:smallCaps w:val="0"/>
          <w:strike w:val="0"/>
          <w:sz w:val="22"/>
          <w:highlight w:val="cyan"/>
          <w:u w:val="single"/>
        </w:rPr>
        <w:t>firm</w:t>
      </w:r>
      <w:r>
        <w:rPr>
          <w:b/>
          <w:i w:val="0"/>
          <w:smallCaps w:val="0"/>
          <w:strike w:val="0"/>
          <w:sz w:val="22"/>
          <w:highlight w:val="cyan"/>
          <w:u w:val="single"/>
        </w:rPr>
        <w:t xml:space="preserve">, all </w:t>
      </w:r>
      <w:r>
        <w:rPr>
          <w:b/>
          <w:i w:val="0"/>
          <w:smallCaps w:val="0"/>
          <w:strike w:val="0"/>
          <w:sz w:val="22"/>
          <w:highlight w:val="cyan"/>
          <w:u w:val="single"/>
        </w:rPr>
        <w:t>reg</w:t>
      </w:r>
      <w:r>
        <w:rPr>
          <w:b/>
          <w:i w:val="0"/>
          <w:smallCaps w:val="0"/>
          <w:strike w:val="0"/>
          <w:sz w:val="22"/>
          <w:u w:val="single"/>
        </w:rPr>
        <w:t>ulation</w:t>
      </w:r>
      <w:r>
        <w:rPr>
          <w:b/>
          <w:i w:val="0"/>
          <w:smallCaps w:val="0"/>
          <w:strike w:val="0"/>
          <w:sz w:val="22"/>
          <w:highlight w:val="cyan"/>
          <w:u w:val="single"/>
        </w:rPr>
        <w:t>s are taxes</w:t>
      </w:r>
      <w:r>
        <w:rPr>
          <w:b/>
          <w:i w:val="0"/>
          <w:smallCaps w:val="0"/>
          <w:strike w:val="0"/>
          <w:sz w:val="22"/>
          <w:highlight w:val="cyan"/>
          <w:u w:val="single"/>
        </w:rPr>
        <w:t xml:space="preserve"> and </w:t>
      </w:r>
      <w:r>
        <w:rPr>
          <w:b/>
          <w:i w:val="0"/>
          <w:smallCaps w:val="0"/>
          <w:strike w:val="0"/>
          <w:sz w:val="22"/>
          <w:highlight w:val="cyan"/>
          <w:u w:val="single"/>
        </w:rPr>
        <w:t>all taxes regulate</w:t>
      </w:r>
      <w:r>
        <w:rPr>
          <w:b/>
          <w:i w:val="0"/>
          <w:smallCaps w:val="0"/>
          <w:strike w:val="0"/>
          <w:sz w:val="22"/>
          <w:highlight w:val="cyan"/>
          <w:u w:val="single"/>
        </w:rPr>
        <w:t>”</w:t>
      </w:r>
      <w:r>
        <w:rPr>
          <w:b w:val="0"/>
          <w:i w:val="0"/>
          <w:smallCaps w:val="0"/>
          <w:strike w:val="0"/>
          <w:sz w:val="16"/>
          <w:u w:val="none"/>
        </w:rPr>
        <w:t xml:space="preserve"> </w:t>
      </w:r>
      <w:r>
        <w:rPr>
          <w:b w:val="0"/>
          <w:i w:val="0"/>
          <w:smallCaps w:val="0"/>
          <w:strike w:val="0"/>
          <w:sz w:val="16"/>
          <w:u w:val="none"/>
        </w:rPr>
        <w:t>(Barnett &amp; Yandle 2004, p. 217). Another reason why regulation and taxation are often seen as distinct is that regulation is conceived as a dynamic process, in which regulators and regulated are engaged in a continuous, personal interchange, whereas taxation is seen as a “static, stultified, coercive, and impersonal exchange” that consists merely in handing over money (Braithwaite 2007, p. 3). As Braithwaite and her colleagues have shown (Special issue of Law &amp; Policy, vol. 29, issue 1, 2007), this juxtaposition has never held empirically. In contrast, tax systems at the national, regional, and global level are dynamic regulatory systems and they can and should be studied as that.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