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Public policy’s </w:t>
      </w:r>
      <w:r>
        <w:rPr>
          <w:b/>
          <w:i w:val="0"/>
          <w:smallCaps w:val="0"/>
          <w:strike w:val="0"/>
          <w:sz w:val="26"/>
          <w:u w:val="single"/>
        </w:rPr>
        <w:t>involved</w:t>
      </w:r>
      <w:r>
        <w:rPr>
          <w:b/>
          <w:i w:val="0"/>
          <w:smallCaps w:val="0"/>
          <w:strike w:val="0"/>
          <w:sz w:val="26"/>
          <w:u w:val="none"/>
        </w:rPr>
        <w:t>.</w:t>
      </w:r>
    </w:p>
    <w:p>
      <w:pPr>
        <w:spacing w:after="80"/>
      </w:pPr>
      <w:r>
        <w:rPr>
          <w:b/>
          <w:i w:val="0"/>
          <w:smallCaps w:val="0"/>
          <w:strike w:val="0"/>
          <w:sz w:val="26"/>
          <w:u w:val="none"/>
        </w:rPr>
        <w:t>Smith ’21</w:t>
      </w:r>
      <w:r>
        <w:rPr>
          <w:b w:val="0"/>
          <w:i w:val="0"/>
          <w:smallCaps w:val="0"/>
          <w:strike w:val="0"/>
          <w:u w:val="none"/>
        </w:rPr>
        <w:t xml:space="preserve"> [Henry E.; March; Fessenden Professor of Law and Director of the Project on the Foundations of Private Law, Harvard Law School; Notre Dame Law Review, “Putting the Equity Back into Intellectual Property Remedies,” 96 Notre Dame L. Rev. 1603, Lexis] jchen</w:t>
      </w:r>
    </w:p>
    <w:p>
      <w:pPr>
        <w:spacing w:after="60"/>
      </w:pPr>
      <w:r>
        <w:rPr>
          <w:b w:val="0"/>
          <w:i w:val="0"/>
          <w:smallCaps w:val="0"/>
          <w:strike w:val="0"/>
          <w:sz w:val="16"/>
          <w:u w:val="none"/>
        </w:rPr>
        <w:t xml:space="preserve">The traditional </w:t>
      </w:r>
      <w:r>
        <w:rPr>
          <w:b/>
          <w:i w:val="0"/>
          <w:smallCaps w:val="0"/>
          <w:strike w:val="0"/>
          <w:sz w:val="22"/>
          <w:u w:val="single"/>
        </w:rPr>
        <w:t xml:space="preserve">rules of </w:t>
      </w:r>
      <w:r>
        <w:rPr>
          <w:b/>
          <w:i w:val="0"/>
          <w:smallCaps w:val="0"/>
          <w:strike w:val="0"/>
          <w:sz w:val="22"/>
          <w:u w:val="single"/>
        </w:rPr>
        <w:t>thumb</w:t>
      </w:r>
      <w:r>
        <w:rPr>
          <w:b/>
          <w:i w:val="0"/>
          <w:smallCaps w:val="0"/>
          <w:strike w:val="0"/>
          <w:sz w:val="22"/>
          <w:u w:val="single"/>
        </w:rPr>
        <w:t xml:space="preserve"> had to do with </w:t>
      </w:r>
      <w:r>
        <w:rPr>
          <w:b/>
          <w:i w:val="0"/>
          <w:smallCaps w:val="0"/>
          <w:strike w:val="0"/>
          <w:sz w:val="22"/>
          <w:highlight w:val="cyan"/>
          <w:u w:val="single"/>
        </w:rPr>
        <w:t>inadequacy</w:t>
      </w:r>
      <w:r>
        <w:rPr>
          <w:b/>
          <w:i w:val="0"/>
          <w:smallCaps w:val="0"/>
          <w:strike w:val="0"/>
          <w:sz w:val="22"/>
          <w:highlight w:val="cyan"/>
          <w:u w:val="single"/>
        </w:rPr>
        <w:t xml:space="preserve"> of</w:t>
      </w:r>
      <w:r>
        <w:rPr>
          <w:b/>
          <w:i w:val="0"/>
          <w:smallCaps w:val="0"/>
          <w:strike w:val="0"/>
          <w:sz w:val="22"/>
          <w:u w:val="single"/>
        </w:rPr>
        <w:t xml:space="preserve"> the </w:t>
      </w:r>
      <w:r>
        <w:rPr>
          <w:b/>
          <w:i w:val="0"/>
          <w:smallCaps w:val="0"/>
          <w:strike w:val="0"/>
          <w:sz w:val="22"/>
          <w:highlight w:val="cyan"/>
          <w:u w:val="single"/>
        </w:rPr>
        <w:t>legal remedy</w:t>
      </w:r>
      <w:r>
        <w:rPr>
          <w:b w:val="0"/>
          <w:i w:val="0"/>
          <w:smallCaps w:val="0"/>
          <w:strike w:val="0"/>
          <w:sz w:val="16"/>
          <w:u w:val="none"/>
        </w:rPr>
        <w:t>.</w:t>
      </w:r>
      <w:r>
        <w:rPr>
          <w:b w:val="0"/>
          <w:i w:val="0"/>
          <w:smallCaps w:val="0"/>
          <w:strike w:val="0"/>
          <w:sz w:val="16"/>
          <w:u w:val="none"/>
        </w:rPr>
        <w:t xml:space="preserve"> Inadequacy of the legal remedy is a </w:t>
      </w:r>
      <w:r>
        <w:rPr>
          <w:b/>
          <w:i w:val="0"/>
          <w:smallCaps w:val="0"/>
          <w:strike w:val="0"/>
          <w:sz w:val="22"/>
          <w:highlight w:val="cyan"/>
          <w:u w:val="single"/>
        </w:rPr>
        <w:t>complex</w:t>
      </w:r>
      <w:r>
        <w:rPr>
          <w:b w:val="0"/>
          <w:i w:val="0"/>
          <w:smallCaps w:val="0"/>
          <w:strike w:val="0"/>
          <w:sz w:val="16"/>
          <w:u w:val="none"/>
        </w:rPr>
        <w:t xml:space="preserve"> congeries of considerations </w:t>
      </w:r>
      <w:r>
        <w:rPr>
          <w:b/>
          <w:i w:val="0"/>
          <w:smallCaps w:val="0"/>
          <w:strike w:val="0"/>
          <w:sz w:val="22"/>
          <w:u w:val="single"/>
        </w:rPr>
        <w:t>of difficulty of valuation</w:t>
      </w:r>
      <w:r>
        <w:rPr>
          <w:b w:val="0"/>
          <w:i w:val="0"/>
          <w:smallCaps w:val="0"/>
          <w:strike w:val="0"/>
          <w:sz w:val="16"/>
          <w:u w:val="none"/>
        </w:rPr>
        <w:t xml:space="preserve">, </w:t>
      </w:r>
      <w:r>
        <w:rPr>
          <w:b/>
          <w:i w:val="0"/>
          <w:smallCaps w:val="0"/>
          <w:strike w:val="0"/>
          <w:sz w:val="22"/>
          <w:u w:val="single"/>
        </w:rPr>
        <w:t>inconveniences of</w:t>
      </w:r>
      <w:r>
        <w:rPr>
          <w:b w:val="0"/>
          <w:i w:val="0"/>
          <w:smallCaps w:val="0"/>
          <w:strike w:val="0"/>
          <w:sz w:val="16"/>
          <w:u w:val="none"/>
        </w:rPr>
        <w:t xml:space="preserve"> repeated </w:t>
      </w:r>
      <w:r>
        <w:rPr>
          <w:b/>
          <w:i w:val="0"/>
          <w:smallCaps w:val="0"/>
          <w:strike w:val="0"/>
          <w:sz w:val="22"/>
          <w:highlight w:val="cyan"/>
          <w:u w:val="single"/>
        </w:rPr>
        <w:t>litigation</w:t>
      </w:r>
      <w:r>
        <w:rPr>
          <w:b w:val="0"/>
          <w:i w:val="0"/>
          <w:smallCaps w:val="0"/>
          <w:strike w:val="0"/>
          <w:sz w:val="16"/>
          <w:u w:val="none"/>
        </w:rPr>
        <w:t xml:space="preserve">, potential </w:t>
      </w:r>
      <w:r>
        <w:rPr>
          <w:b/>
          <w:i w:val="0"/>
          <w:smallCaps w:val="0"/>
          <w:strike w:val="0"/>
          <w:sz w:val="22"/>
          <w:u w:val="single"/>
        </w:rPr>
        <w:t xml:space="preserve">undermining of the </w:t>
      </w:r>
      <w:r>
        <w:rPr>
          <w:b/>
          <w:i w:val="0"/>
          <w:smallCaps w:val="0"/>
          <w:strike w:val="0"/>
          <w:sz w:val="22"/>
          <w:u w:val="single"/>
        </w:rPr>
        <w:t>right</w:t>
      </w:r>
      <w:r>
        <w:rPr>
          <w:b w:val="0"/>
          <w:i w:val="0"/>
          <w:smallCaps w:val="0"/>
          <w:strike w:val="0"/>
          <w:sz w:val="16"/>
          <w:u w:val="none"/>
        </w:rPr>
        <w:t xml:space="preserve">, and so on.22 The trigger for equity here would be the inadequacy of the legal remedy (which could stem from a variety of factors). Although this has been regarded as a vacuous “rule” because one can find examples of almost any kind of situation leading to an injunction,23 there is more to say in favor of this trigger for equity.24 As I have argued elsewhere, </w:t>
      </w:r>
      <w:r>
        <w:rPr>
          <w:b/>
          <w:i w:val="0"/>
          <w:smallCaps w:val="0"/>
          <w:strike w:val="0"/>
          <w:sz w:val="22"/>
          <w:highlight w:val="cyan"/>
          <w:u w:val="single"/>
        </w:rPr>
        <w:t>inadequacy</w:t>
      </w:r>
      <w:r>
        <w:rPr>
          <w:b/>
          <w:i w:val="0"/>
          <w:smallCaps w:val="0"/>
          <w:strike w:val="0"/>
          <w:sz w:val="22"/>
          <w:u w:val="single"/>
        </w:rPr>
        <w:t xml:space="preserve"> of the legal remedy</w:t>
      </w:r>
      <w:r>
        <w:rPr>
          <w:b w:val="0"/>
          <w:i w:val="0"/>
          <w:smallCaps w:val="0"/>
          <w:strike w:val="0"/>
          <w:sz w:val="16"/>
          <w:u w:val="none"/>
        </w:rPr>
        <w:t xml:space="preserve"> (or alternatively irreparable injury) is best regarded as a </w:t>
      </w:r>
      <w:r>
        <w:rPr>
          <w:b/>
          <w:i w:val="0"/>
          <w:smallCaps w:val="0"/>
          <w:strike w:val="0"/>
          <w:sz w:val="22"/>
          <w:highlight w:val="cyan"/>
          <w:u w:val="single"/>
        </w:rPr>
        <w:t>trigger</w:t>
      </w:r>
      <w:r>
        <w:rPr>
          <w:b/>
          <w:i w:val="0"/>
          <w:smallCaps w:val="0"/>
          <w:strike w:val="0"/>
          <w:sz w:val="22"/>
          <w:u w:val="single"/>
        </w:rPr>
        <w:t xml:space="preserve"> for a</w:t>
      </w:r>
      <w:r>
        <w:rPr>
          <w:b w:val="0"/>
          <w:i w:val="0"/>
          <w:smallCaps w:val="0"/>
          <w:strike w:val="0"/>
          <w:sz w:val="16"/>
          <w:u w:val="none"/>
        </w:rPr>
        <w:t xml:space="preserve"> </w:t>
      </w:r>
      <w:r>
        <w:rPr>
          <w:b/>
          <w:i w:val="0"/>
          <w:smallCaps w:val="0"/>
          <w:strike w:val="0"/>
          <w:sz w:val="22"/>
          <w:highlight w:val="cyan"/>
          <w:u w:val="single"/>
        </w:rPr>
        <w:t>complex</w:t>
      </w:r>
      <w:r>
        <w:rPr>
          <w:b/>
          <w:i w:val="0"/>
          <w:smallCaps w:val="0"/>
          <w:strike w:val="0"/>
          <w:sz w:val="22"/>
          <w:u w:val="single"/>
        </w:rPr>
        <w:t xml:space="preserve"> equitable </w:t>
      </w:r>
      <w:r>
        <w:rPr>
          <w:b/>
          <w:i w:val="0"/>
          <w:smallCaps w:val="0"/>
          <w:strike w:val="0"/>
          <w:sz w:val="22"/>
          <w:highlight w:val="cyan"/>
          <w:u w:val="single"/>
        </w:rPr>
        <w:t>analysis</w:t>
      </w:r>
      <w:r>
        <w:rPr>
          <w:b w:val="0"/>
          <w:i w:val="0"/>
          <w:smallCaps w:val="0"/>
          <w:strike w:val="0"/>
          <w:sz w:val="16"/>
          <w:u w:val="none"/>
        </w:rPr>
        <w:t xml:space="preserve">. It shows that we have entered meta-law, where a different, more interactive and openended style of analysis is exceptionally called for.25 Also relevant to an injunction would be disproportionate hardship—does the injunction visit far more harm on the enjoined party than the small benefit it affords the movant? A range of </w:t>
      </w:r>
      <w:r>
        <w:rPr>
          <w:b/>
          <w:i w:val="0"/>
          <w:smallCaps w:val="0"/>
          <w:strike w:val="0"/>
          <w:sz w:val="22"/>
          <w:highlight w:val="cyan"/>
          <w:u w:val="single"/>
        </w:rPr>
        <w:t>third-party</w:t>
      </w:r>
      <w:r>
        <w:rPr>
          <w:b/>
          <w:i w:val="0"/>
          <w:smallCaps w:val="0"/>
          <w:strike w:val="0"/>
          <w:sz w:val="22"/>
          <w:u w:val="single"/>
        </w:rPr>
        <w:t xml:space="preserve"> e</w:t>
      </w:r>
      <w:r>
        <w:rPr>
          <w:b/>
          <w:i w:val="0"/>
          <w:smallCaps w:val="0"/>
          <w:strike w:val="0"/>
          <w:sz w:val="22"/>
          <w:u w:val="single"/>
        </w:rPr>
        <w:t>ffects</w:t>
      </w:r>
      <w:r>
        <w:rPr>
          <w:b/>
          <w:i w:val="0"/>
          <w:smallCaps w:val="0"/>
          <w:strike w:val="0"/>
          <w:sz w:val="22"/>
          <w:u w:val="single"/>
        </w:rPr>
        <w:t xml:space="preserve"> are also </w:t>
      </w:r>
      <w:r>
        <w:rPr>
          <w:b/>
          <w:i w:val="0"/>
          <w:smallCaps w:val="0"/>
          <w:strike w:val="0"/>
          <w:sz w:val="22"/>
          <w:highlight w:val="cyan"/>
          <w:u w:val="single"/>
        </w:rPr>
        <w:t>relevant</w:t>
      </w:r>
      <w:r>
        <w:rPr>
          <w:b w:val="0"/>
          <w:i w:val="0"/>
          <w:smallCaps w:val="0"/>
          <w:strike w:val="0"/>
          <w:sz w:val="16"/>
          <w:u w:val="none"/>
        </w:rPr>
        <w:t xml:space="preserve">, sometimes </w:t>
      </w:r>
      <w:r>
        <w:rPr>
          <w:b/>
          <w:i w:val="0"/>
          <w:smallCaps w:val="0"/>
          <w:strike w:val="0"/>
          <w:sz w:val="22"/>
          <w:highlight w:val="cyan"/>
          <w:u w:val="single"/>
        </w:rPr>
        <w:t>traveling under</w:t>
      </w:r>
      <w:r>
        <w:rPr>
          <w:b/>
          <w:i w:val="0"/>
          <w:smallCaps w:val="0"/>
          <w:strike w:val="0"/>
          <w:sz w:val="22"/>
          <w:u w:val="single"/>
        </w:rPr>
        <w:t xml:space="preserve"> the heading of </w:t>
      </w:r>
      <w:r>
        <w:rPr>
          <w:b/>
          <w:i w:val="0"/>
          <w:smallCaps w:val="0"/>
          <w:strike w:val="0"/>
          <w:sz w:val="22"/>
          <w:highlight w:val="cyan"/>
          <w:u w:val="single"/>
        </w:rPr>
        <w:t>public</w:t>
      </w:r>
      <w:r>
        <w:rPr>
          <w:b/>
          <w:i w:val="0"/>
          <w:smallCaps w:val="0"/>
          <w:strike w:val="0"/>
          <w:sz w:val="22"/>
          <w:u w:val="single"/>
        </w:rPr>
        <w:t xml:space="preserve"> </w:t>
      </w:r>
      <w:r>
        <w:rPr>
          <w:b/>
          <w:i w:val="0"/>
          <w:smallCaps w:val="0"/>
          <w:strike w:val="0"/>
          <w:sz w:val="22"/>
          <w:highlight w:val="cyan"/>
          <w:u w:val="single"/>
        </w:rPr>
        <w:t>policy</w:t>
      </w:r>
      <w:r>
        <w:rPr>
          <w:b w:val="0"/>
          <w:i w:val="0"/>
          <w:smallCaps w:val="0"/>
          <w:strike w:val="0"/>
          <w:sz w:val="16"/>
          <w:u w:val="none"/>
        </w:rPr>
        <w:t xml:space="preserve">. And </w:t>
      </w:r>
      <w:r>
        <w:rPr>
          <w:b/>
          <w:i w:val="0"/>
          <w:smallCaps w:val="0"/>
          <w:strike w:val="0"/>
          <w:sz w:val="22"/>
          <w:highlight w:val="cyan"/>
          <w:u w:val="single"/>
        </w:rPr>
        <w:t>key to</w:t>
      </w:r>
      <w:r>
        <w:rPr>
          <w:b/>
          <w:i w:val="0"/>
          <w:smallCaps w:val="0"/>
          <w:strike w:val="0"/>
          <w:sz w:val="22"/>
          <w:u w:val="single"/>
        </w:rPr>
        <w:t xml:space="preserve"> the </w:t>
      </w:r>
      <w:r>
        <w:rPr>
          <w:b/>
          <w:i w:val="0"/>
          <w:smallCaps w:val="0"/>
          <w:strike w:val="0"/>
          <w:sz w:val="22"/>
          <w:highlight w:val="cyan"/>
          <w:u w:val="single"/>
        </w:rPr>
        <w:t>availability</w:t>
      </w:r>
      <w:r>
        <w:rPr>
          <w:b/>
          <w:i w:val="0"/>
          <w:smallCaps w:val="0"/>
          <w:strike w:val="0"/>
          <w:sz w:val="22"/>
          <w:u w:val="single"/>
        </w:rPr>
        <w:t xml:space="preserve"> of an </w:t>
      </w:r>
      <w:r>
        <w:rPr>
          <w:b/>
          <w:i w:val="0"/>
          <w:smallCaps w:val="0"/>
          <w:strike w:val="0"/>
          <w:sz w:val="22"/>
          <w:u w:val="single"/>
        </w:rPr>
        <w:t>injunction</w:t>
      </w:r>
      <w:r>
        <w:rPr>
          <w:b/>
          <w:i w:val="0"/>
          <w:smallCaps w:val="0"/>
          <w:strike w:val="0"/>
          <w:sz w:val="22"/>
          <w:u w:val="single"/>
        </w:rPr>
        <w:t xml:space="preserve"> or a </w:t>
      </w:r>
      <w:r>
        <w:rPr>
          <w:b/>
          <w:i w:val="0"/>
          <w:smallCaps w:val="0"/>
          <w:strike w:val="0"/>
          <w:sz w:val="22"/>
          <w:u w:val="single"/>
        </w:rPr>
        <w:t>defense</w:t>
      </w:r>
      <w:r>
        <w:rPr>
          <w:b w:val="0"/>
          <w:i w:val="0"/>
          <w:smallCaps w:val="0"/>
          <w:strike w:val="0"/>
          <w:sz w:val="16"/>
          <w:u w:val="none"/>
        </w:rPr>
        <w:t xml:space="preserve"> </w:t>
      </w:r>
      <w:r>
        <w:rPr>
          <w:b/>
          <w:i w:val="0"/>
          <w:smallCaps w:val="0"/>
          <w:strike w:val="0"/>
          <w:sz w:val="22"/>
          <w:highlight w:val="cyan"/>
          <w:u w:val="single"/>
        </w:rPr>
        <w:t>would be</w:t>
      </w:r>
      <w:r>
        <w:rPr>
          <w:b/>
          <w:i w:val="0"/>
          <w:smallCaps w:val="0"/>
          <w:strike w:val="0"/>
          <w:sz w:val="22"/>
          <w:u w:val="single"/>
        </w:rPr>
        <w:t xml:space="preserve"> the </w:t>
      </w:r>
      <w:r>
        <w:rPr>
          <w:b/>
          <w:i w:val="0"/>
          <w:smallCaps w:val="0"/>
          <w:strike w:val="0"/>
          <w:sz w:val="22"/>
          <w:highlight w:val="cyan"/>
          <w:u w:val="single"/>
        </w:rPr>
        <w:t xml:space="preserve">good </w:t>
      </w:r>
      <w:r>
        <w:rPr>
          <w:b/>
          <w:i w:val="0"/>
          <w:smallCaps w:val="0"/>
          <w:strike w:val="0"/>
          <w:sz w:val="22"/>
          <w:highlight w:val="cyan"/>
          <w:u w:val="single"/>
        </w:rPr>
        <w:t>faith</w:t>
      </w:r>
      <w:r>
        <w:rPr>
          <w:b/>
          <w:i w:val="0"/>
          <w:smallCaps w:val="0"/>
          <w:strike w:val="0"/>
          <w:sz w:val="22"/>
          <w:u w:val="single"/>
        </w:rPr>
        <w:t xml:space="preserve"> and absence of unclean hands</w:t>
      </w:r>
      <w:r>
        <w:rPr>
          <w:b w:val="0"/>
          <w:i w:val="0"/>
          <w:smallCaps w:val="0"/>
          <w:strike w:val="0"/>
          <w:sz w:val="16"/>
          <w:u w:val="none"/>
        </w:rPr>
        <w:t xml:space="preserve"> on the part of anyone seeking to benefit from any equitable remedy or defense.</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