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Delegation AND instructions </w:t>
      </w:r>
      <w:r>
        <w:rPr>
          <w:b/>
          <w:i w:val="0"/>
          <w:smallCaps w:val="0"/>
          <w:strike w:val="0"/>
          <w:sz w:val="26"/>
          <w:u w:val="single"/>
        </w:rPr>
        <w:t>solve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Daniels ‘10</w:t>
      </w:r>
      <w:r>
        <w:rPr>
          <w:b w:val="0"/>
          <w:i w:val="0"/>
          <w:smallCaps w:val="0"/>
          <w:strike w:val="0"/>
          <w:u w:val="none"/>
        </w:rPr>
        <w:t xml:space="preserve"> [Brigham; 2010; Professor of Law at S.J. Quinney College of Law; Nicholas School of the Environment, Duke University, “</w:t>
      </w:r>
      <w:r>
        <w:rPr>
          <w:b w:val="0"/>
          <w:i w:val="0"/>
          <w:smallCaps w:val="0"/>
          <w:strike w:val="0"/>
          <w:u w:val="none"/>
        </w:rPr>
        <w:t>Credible Commitments, Credible Threats, and Environmental Policy</w:t>
      </w:r>
      <w:r>
        <w:rPr>
          <w:b w:val="0"/>
          <w:i w:val="0"/>
          <w:smallCaps w:val="0"/>
          <w:strike w:val="0"/>
          <w:u w:val="none"/>
        </w:rPr>
        <w:t>,” vol. 1] jchen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discussed above, one way to think about Congress’ decision to delegate regulatory nukes is to see it as attempting to make a credible commitment. In making that decision, </w:t>
      </w:r>
      <w:r>
        <w:rPr>
          <w:b/>
          <w:i w:val="0"/>
          <w:smallCaps w:val="0"/>
          <w:strike w:val="0"/>
          <w:sz w:val="22"/>
          <w:u w:val="single"/>
        </w:rPr>
        <w:t>Congress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attempt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increase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credibility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by providing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binding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instructions</w:t>
      </w:r>
      <w:r>
        <w:rPr>
          <w:b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u w:val="single"/>
        </w:rPr>
        <w:t>when</w:t>
      </w:r>
      <w:r>
        <w:rPr>
          <w:b/>
          <w:i w:val="0"/>
          <w:smallCaps w:val="0"/>
          <w:strike w:val="0"/>
          <w:sz w:val="22"/>
          <w:u w:val="single"/>
        </w:rPr>
        <w:t xml:space="preserve"> the weapon must be used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(Schelling, 1980/1960, 29). It can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increase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credibility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its threats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by delegating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program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to 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agency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viewed as committed to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stringent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enforcement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(Moe, 1989). Congress might take it a step further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allow</w:t>
      </w:r>
      <w:r>
        <w:rPr>
          <w:b/>
          <w:i w:val="0"/>
          <w:smallCaps w:val="0"/>
          <w:strike w:val="0"/>
          <w:sz w:val="22"/>
          <w:u w:val="single"/>
        </w:rPr>
        <w:t xml:space="preserve"> additional </w:t>
      </w:r>
      <w:r>
        <w:rPr>
          <w:b/>
          <w:i w:val="0"/>
          <w:smallCaps w:val="0"/>
          <w:strike w:val="0"/>
          <w:sz w:val="22"/>
          <w:u w:val="single"/>
        </w:rPr>
        <w:t xml:space="preserve">third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parties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 enforce the</w:t>
      </w:r>
      <w:r>
        <w:rPr>
          <w:b/>
          <w:i w:val="0"/>
          <w:smallCaps w:val="0"/>
          <w:strike w:val="0"/>
          <w:sz w:val="22"/>
          <w:u w:val="single"/>
        </w:rPr>
        <w:t xml:space="preserve"> regulatory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scheme</w:t>
      </w:r>
      <w:r>
        <w:rPr>
          <w:b w:val="0"/>
          <w:i w:val="0"/>
          <w:smallCaps w:val="0"/>
          <w:strike w:val="0"/>
          <w:sz w:val="16"/>
          <w:u w:val="none"/>
        </w:rPr>
        <w:t>. This is, for example, a large part of how environmental statutes are enforced today: Congress has given citizens and interest groups the right to sue for violations of the law and to force agencies to follow through with the role Congress assigned to them.</w:t>
      </w:r>
    </w:p>
    <w:p>
      <w:pPr>
        <w:pStyle w:val="Caption"/>
      </w:pPr>
      <w:r>
        <w:t>Source: Taxes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