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Taxing power is </w:t>
      </w:r>
      <w:r>
        <w:rPr>
          <w:b/>
          <w:i w:val="0"/>
          <w:smallCaps w:val="0"/>
          <w:strike w:val="0"/>
          <w:sz w:val="26"/>
          <w:u w:val="single"/>
        </w:rPr>
        <w:t>unlimited</w:t>
      </w:r>
      <w:r>
        <w:rPr>
          <w:b/>
          <w:i w:val="0"/>
          <w:smallCaps w:val="0"/>
          <w:strike w:val="0"/>
          <w:sz w:val="26"/>
          <w:u w:val="none"/>
        </w:rPr>
        <w:t xml:space="preserve">---the </w:t>
      </w:r>
      <w:r>
        <w:rPr>
          <w:b/>
          <w:i w:val="0"/>
          <w:smallCaps w:val="0"/>
          <w:strike w:val="0"/>
          <w:sz w:val="26"/>
          <w:u w:val="single"/>
        </w:rPr>
        <w:t>Supreme Court</w:t>
      </w:r>
      <w:r>
        <w:rPr>
          <w:b/>
          <w:i w:val="0"/>
          <w:smallCaps w:val="0"/>
          <w:strike w:val="0"/>
          <w:sz w:val="26"/>
          <w:u w:val="none"/>
        </w:rPr>
        <w:t xml:space="preserve"> will overrule any obstacles. </w:t>
      </w:r>
    </w:p>
    <w:p>
      <w:pPr>
        <w:spacing w:after="80"/>
      </w:pPr>
      <w:r>
        <w:rPr>
          <w:b/>
          <w:i w:val="0"/>
          <w:smallCaps w:val="0"/>
          <w:strike w:val="0"/>
          <w:sz w:val="26"/>
          <w:u w:val="none"/>
        </w:rPr>
        <w:t xml:space="preserve">Yonah ’21 </w:t>
      </w:r>
      <w:r>
        <w:rPr>
          <w:b w:val="0"/>
          <w:i w:val="0"/>
          <w:smallCaps w:val="0"/>
          <w:strike w:val="0"/>
          <w:u w:val="none"/>
        </w:rPr>
        <w:t>[Reuven Avi and Yoseph Edrey; January 22; Irwin I. Cohn Professor of Law and Director of the International Tax LLM Program at the University of Michigan Law School, PhD in History from Harvard University, AM in History from Harvard University, JD from Harvard Law School; Professor of Law at the University of Haifa, PhD in Law from The Hebrew University of Jerusalem, LLM from The Hebrew University of Jerusalem; Law and Economics Working Papers, “Constitutional Review of Federal Tax Legislation,” no. 175]</w:t>
      </w:r>
    </w:p>
    <w:p>
      <w:pPr>
        <w:spacing w:after="60"/>
      </w:pPr>
      <w:r>
        <w:rPr>
          <w:b/>
          <w:i w:val="0"/>
          <w:smallCaps w:val="0"/>
          <w:strike w:val="0"/>
          <w:sz w:val="22"/>
          <w:u w:val="single"/>
        </w:rPr>
        <w:t xml:space="preserve">The </w:t>
      </w:r>
      <w:r>
        <w:rPr>
          <w:b/>
          <w:i w:val="0"/>
          <w:smallCaps w:val="0"/>
          <w:strike w:val="0"/>
          <w:sz w:val="22"/>
          <w:highlight w:val="cyan"/>
          <w:u w:val="single"/>
        </w:rPr>
        <w:t>Constitution</w:t>
      </w:r>
      <w:r>
        <w:rPr>
          <w:b/>
          <w:i w:val="0"/>
          <w:smallCaps w:val="0"/>
          <w:strike w:val="0"/>
          <w:sz w:val="22"/>
          <w:u w:val="single"/>
        </w:rPr>
        <w:t xml:space="preserve"> itself </w:t>
      </w:r>
      <w:r>
        <w:rPr>
          <w:b/>
          <w:i w:val="0"/>
          <w:smallCaps w:val="0"/>
          <w:strike w:val="0"/>
          <w:sz w:val="22"/>
          <w:highlight w:val="cyan"/>
          <w:u w:val="single"/>
        </w:rPr>
        <w:t xml:space="preserve">imposes </w:t>
      </w:r>
      <w:r>
        <w:rPr>
          <w:b/>
          <w:i w:val="0"/>
          <w:smallCaps w:val="0"/>
          <w:strike w:val="0"/>
          <w:sz w:val="22"/>
          <w:highlight w:val="cyan"/>
          <w:u w:val="single"/>
        </w:rPr>
        <w:t>very few</w:t>
      </w:r>
      <w:r>
        <w:rPr>
          <w:b/>
          <w:i w:val="0"/>
          <w:smallCaps w:val="0"/>
          <w:strike w:val="0"/>
          <w:sz w:val="22"/>
          <w:highlight w:val="cyan"/>
          <w:u w:val="single"/>
        </w:rPr>
        <w:t xml:space="preserve"> limits on</w:t>
      </w:r>
      <w:r>
        <w:rPr>
          <w:b/>
          <w:i w:val="0"/>
          <w:smallCaps w:val="0"/>
          <w:strike w:val="0"/>
          <w:sz w:val="22"/>
          <w:u w:val="single"/>
        </w:rPr>
        <w:t xml:space="preserve"> the </w:t>
      </w:r>
      <w:r>
        <w:rPr>
          <w:b/>
          <w:i w:val="0"/>
          <w:smallCaps w:val="0"/>
          <w:strike w:val="0"/>
          <w:sz w:val="22"/>
          <w:highlight w:val="cyan"/>
          <w:u w:val="single"/>
        </w:rPr>
        <w:t>taxing</w:t>
      </w:r>
      <w:r>
        <w:rPr>
          <w:b/>
          <w:i w:val="0"/>
          <w:smallCaps w:val="0"/>
          <w:strike w:val="0"/>
          <w:sz w:val="22"/>
          <w:u w:val="single"/>
        </w:rPr>
        <w:t xml:space="preserve"> power</w:t>
      </w:r>
      <w:r>
        <w:rPr>
          <w:b w:val="0"/>
          <w:i w:val="0"/>
          <w:smallCaps w:val="0"/>
          <w:strike w:val="0"/>
          <w:sz w:val="16"/>
          <w:u w:val="none"/>
        </w:rPr>
        <w:t xml:space="preserve">, Unless it is clear that it is not possible to impose taxes that are not intended to pay the Debts and provide for the Common Defense and General Welfare of the United States ”. Goods exported from a State may not be taxed.17 Direct taxes must be apportioned among the states by population18 and indirect taxes must be uniform.19 </w:t>
      </w:r>
      <w:r>
        <w:rPr>
          <w:b/>
          <w:i w:val="0"/>
          <w:smallCaps w:val="0"/>
          <w:strike w:val="0"/>
          <w:sz w:val="22"/>
          <w:highlight w:val="cyan"/>
          <w:u w:val="single"/>
        </w:rPr>
        <w:t xml:space="preserve">The </w:t>
      </w:r>
      <w:r>
        <w:rPr>
          <w:b/>
          <w:i w:val="0"/>
          <w:smallCaps w:val="0"/>
          <w:strike w:val="0"/>
          <w:sz w:val="22"/>
          <w:highlight w:val="cyan"/>
          <w:u w:val="single"/>
        </w:rPr>
        <w:t>only</w:t>
      </w:r>
      <w:r>
        <w:rPr>
          <w:b/>
          <w:i w:val="0"/>
          <w:smallCaps w:val="0"/>
          <w:strike w:val="0"/>
          <w:sz w:val="22"/>
          <w:u w:val="single"/>
        </w:rPr>
        <w:t xml:space="preserve"> significantly </w:t>
      </w:r>
      <w:r>
        <w:rPr>
          <w:b/>
          <w:i w:val="0"/>
          <w:smallCaps w:val="0"/>
          <w:strike w:val="0"/>
          <w:sz w:val="22"/>
          <w:highlight w:val="cyan"/>
          <w:u w:val="single"/>
        </w:rPr>
        <w:t>disputed item is</w:t>
      </w:r>
      <w:r>
        <w:rPr>
          <w:b/>
          <w:i w:val="0"/>
          <w:smallCaps w:val="0"/>
          <w:strike w:val="0"/>
          <w:sz w:val="22"/>
          <w:u w:val="single"/>
        </w:rPr>
        <w:t xml:space="preserve"> the definition of </w:t>
      </w:r>
      <w:r>
        <w:rPr>
          <w:b/>
          <w:i w:val="0"/>
          <w:smallCaps w:val="0"/>
          <w:strike w:val="0"/>
          <w:sz w:val="22"/>
          <w:highlight w:val="cyan"/>
          <w:u w:val="single"/>
        </w:rPr>
        <w:t>“direct” tax</w:t>
      </w:r>
      <w:r>
        <w:rPr>
          <w:b/>
          <w:i w:val="0"/>
          <w:smallCaps w:val="0"/>
          <w:strike w:val="0"/>
          <w:sz w:val="22"/>
          <w:u w:val="single"/>
        </w:rPr>
        <w:t xml:space="preserve">, which </w:t>
      </w:r>
      <w:r>
        <w:rPr>
          <w:b/>
          <w:i w:val="0"/>
          <w:smallCaps w:val="0"/>
          <w:strike w:val="0"/>
          <w:sz w:val="22"/>
          <w:highlight w:val="cyan"/>
          <w:u w:val="single"/>
        </w:rPr>
        <w:t>in</w:t>
      </w:r>
      <w:r>
        <w:rPr>
          <w:b/>
          <w:i w:val="0"/>
          <w:smallCaps w:val="0"/>
          <w:strike w:val="0"/>
          <w:sz w:val="22"/>
          <w:u w:val="single"/>
        </w:rPr>
        <w:t xml:space="preserve"> </w:t>
      </w:r>
      <w:r>
        <w:rPr>
          <w:b/>
          <w:i w:val="0"/>
          <w:smallCaps w:val="0"/>
          <w:strike w:val="0"/>
          <w:sz w:val="22"/>
          <w:u w:val="single"/>
        </w:rPr>
        <w:t xml:space="preserve">Pollock </w:t>
      </w:r>
      <w:r>
        <w:rPr>
          <w:b/>
          <w:i w:val="0"/>
          <w:smallCaps w:val="0"/>
          <w:strike w:val="0"/>
          <w:sz w:val="22"/>
          <w:highlight w:val="cyan"/>
          <w:u w:val="single"/>
        </w:rPr>
        <w:t>(1895)</w:t>
      </w:r>
      <w:r>
        <w:rPr>
          <w:b/>
          <w:i w:val="0"/>
          <w:smallCaps w:val="0"/>
          <w:strike w:val="0"/>
          <w:sz w:val="22"/>
          <w:u w:val="single"/>
        </w:rPr>
        <w:t xml:space="preserve"> led to the Court striking down the second US income tax as unconstitutional, but this decision was </w:t>
      </w:r>
      <w:r>
        <w:rPr>
          <w:b/>
          <w:i w:val="0"/>
          <w:smallCaps w:val="0"/>
          <w:strike w:val="0"/>
          <w:sz w:val="22"/>
          <w:highlight w:val="cyan"/>
          <w:u w:val="single"/>
        </w:rPr>
        <w:t>reversed</w:t>
      </w:r>
      <w:r>
        <w:rPr>
          <w:b/>
          <w:i w:val="0"/>
          <w:smallCaps w:val="0"/>
          <w:strike w:val="0"/>
          <w:sz w:val="22"/>
          <w:highlight w:val="cyan"/>
          <w:u w:val="single"/>
        </w:rPr>
        <w:t xml:space="preserve"> by</w:t>
      </w:r>
      <w:r>
        <w:rPr>
          <w:b/>
          <w:i w:val="0"/>
          <w:smallCaps w:val="0"/>
          <w:strike w:val="0"/>
          <w:sz w:val="22"/>
          <w:u w:val="single"/>
        </w:rPr>
        <w:t xml:space="preserve"> the adoption of </w:t>
      </w:r>
      <w:r>
        <w:rPr>
          <w:b/>
          <w:i w:val="0"/>
          <w:smallCaps w:val="0"/>
          <w:strike w:val="0"/>
          <w:sz w:val="22"/>
          <w:highlight w:val="cyan"/>
          <w:u w:val="single"/>
        </w:rPr>
        <w:t xml:space="preserve">the </w:t>
      </w:r>
      <w:r>
        <w:rPr>
          <w:b/>
          <w:i w:val="0"/>
          <w:smallCaps w:val="0"/>
          <w:strike w:val="0"/>
          <w:sz w:val="22"/>
          <w:highlight w:val="cyan"/>
          <w:u w:val="single"/>
        </w:rPr>
        <w:t>Sixteenth</w:t>
      </w:r>
      <w:r>
        <w:rPr>
          <w:b/>
          <w:i w:val="0"/>
          <w:smallCaps w:val="0"/>
          <w:strike w:val="0"/>
          <w:sz w:val="22"/>
          <w:u w:val="single"/>
        </w:rPr>
        <w:t xml:space="preserve"> Amendment</w:t>
      </w:r>
      <w:r>
        <w:rPr>
          <w:b/>
          <w:i w:val="0"/>
          <w:smallCaps w:val="0"/>
          <w:strike w:val="0"/>
          <w:sz w:val="22"/>
          <w:u w:val="single"/>
        </w:rPr>
        <w:t xml:space="preserve"> in 1913</w:t>
      </w:r>
      <w:r>
        <w:rPr>
          <w:b w:val="0"/>
          <w:i w:val="0"/>
          <w:smallCaps w:val="0"/>
          <w:strike w:val="0"/>
          <w:sz w:val="16"/>
          <w:u w:val="none"/>
        </w:rPr>
        <w:t>.20 There is still some debate among scholars about whether an unapportioned federal wealth tax would be constitutional.21</w:t>
      </w:r>
    </w:p>
    <w:p>
      <w:pPr>
        <w:spacing w:after="60"/>
      </w:pPr>
      <w:r>
        <w:rPr>
          <w:b/>
          <w:i w:val="0"/>
          <w:smallCaps w:val="0"/>
          <w:strike w:val="0"/>
          <w:sz w:val="22"/>
          <w:highlight w:val="cyan"/>
          <w:u w:val="single"/>
        </w:rPr>
        <w:t>Nor</w:t>
      </w:r>
      <w:r>
        <w:rPr>
          <w:b/>
          <w:i w:val="0"/>
          <w:smallCaps w:val="0"/>
          <w:strike w:val="0"/>
          <w:sz w:val="22"/>
          <w:highlight w:val="cyan"/>
          <w:u w:val="single"/>
        </w:rPr>
        <w:t xml:space="preserve"> has</w:t>
      </w:r>
      <w:r>
        <w:rPr>
          <w:b/>
          <w:i w:val="0"/>
          <w:smallCaps w:val="0"/>
          <w:strike w:val="0"/>
          <w:sz w:val="22"/>
          <w:u w:val="single"/>
        </w:rPr>
        <w:t xml:space="preserve"> the </w:t>
      </w:r>
      <w:r>
        <w:rPr>
          <w:b/>
          <w:i w:val="0"/>
          <w:smallCaps w:val="0"/>
          <w:strike w:val="0"/>
          <w:sz w:val="22"/>
          <w:highlight w:val="cyan"/>
          <w:u w:val="single"/>
        </w:rPr>
        <w:t>Supreme Court</w:t>
      </w:r>
      <w:r>
        <w:rPr>
          <w:b w:val="0"/>
          <w:i w:val="0"/>
          <w:smallCaps w:val="0"/>
          <w:strike w:val="0"/>
          <w:sz w:val="16"/>
          <w:u w:val="none"/>
        </w:rPr>
        <w:t xml:space="preserve">22 </w:t>
      </w:r>
      <w:r>
        <w:rPr>
          <w:b/>
          <w:i w:val="0"/>
          <w:smallCaps w:val="0"/>
          <w:strike w:val="0"/>
          <w:sz w:val="22"/>
          <w:highlight w:val="cyan"/>
          <w:u w:val="single"/>
        </w:rPr>
        <w:t>imposed</w:t>
      </w:r>
      <w:r>
        <w:rPr>
          <w:b/>
          <w:i w:val="0"/>
          <w:smallCaps w:val="0"/>
          <w:strike w:val="0"/>
          <w:sz w:val="22"/>
          <w:u w:val="single"/>
        </w:rPr>
        <w:t xml:space="preserve"> significant </w:t>
      </w:r>
      <w:r>
        <w:rPr>
          <w:b/>
          <w:i w:val="0"/>
          <w:smallCaps w:val="0"/>
          <w:strike w:val="0"/>
          <w:sz w:val="22"/>
          <w:highlight w:val="cyan"/>
          <w:u w:val="single"/>
        </w:rPr>
        <w:t>limits</w:t>
      </w:r>
      <w:r>
        <w:rPr>
          <w:b/>
          <w:i w:val="0"/>
          <w:smallCaps w:val="0"/>
          <w:strike w:val="0"/>
          <w:sz w:val="22"/>
          <w:u w:val="single"/>
        </w:rPr>
        <w:t xml:space="preserve"> on the power of Congress </w:t>
      </w:r>
      <w:r>
        <w:rPr>
          <w:b/>
          <w:i w:val="0"/>
          <w:smallCaps w:val="0"/>
          <w:strike w:val="0"/>
          <w:sz w:val="22"/>
          <w:highlight w:val="cyan"/>
          <w:u w:val="single"/>
        </w:rPr>
        <w:t>under</w:t>
      </w:r>
      <w:r>
        <w:rPr>
          <w:b/>
          <w:i w:val="0"/>
          <w:smallCaps w:val="0"/>
          <w:strike w:val="0"/>
          <w:sz w:val="22"/>
          <w:u w:val="single"/>
        </w:rPr>
        <w:t xml:space="preserve"> the </w:t>
      </w:r>
      <w:r>
        <w:rPr>
          <w:b/>
          <w:i w:val="0"/>
          <w:smallCaps w:val="0"/>
          <w:strike w:val="0"/>
          <w:sz w:val="22"/>
          <w:highlight w:val="cyan"/>
          <w:u w:val="single"/>
        </w:rPr>
        <w:t>Taxing</w:t>
      </w:r>
      <w:r>
        <w:rPr>
          <w:b/>
          <w:i w:val="0"/>
          <w:smallCaps w:val="0"/>
          <w:strike w:val="0"/>
          <w:sz w:val="22"/>
          <w:u w:val="single"/>
        </w:rPr>
        <w:t xml:space="preserve"> Clause. The </w:t>
      </w:r>
      <w:r>
        <w:rPr>
          <w:b/>
          <w:i w:val="0"/>
          <w:smallCaps w:val="0"/>
          <w:strike w:val="0"/>
          <w:sz w:val="22"/>
          <w:highlight w:val="cyan"/>
          <w:u w:val="single"/>
        </w:rPr>
        <w:t>Court</w:t>
      </w:r>
      <w:r>
        <w:rPr>
          <w:b/>
          <w:i w:val="0"/>
          <w:smallCaps w:val="0"/>
          <w:strike w:val="0"/>
          <w:sz w:val="22"/>
          <w:u w:val="single"/>
        </w:rPr>
        <w:t xml:space="preserve"> has </w:t>
      </w:r>
      <w:r>
        <w:rPr>
          <w:b/>
          <w:i w:val="0"/>
          <w:smallCaps w:val="0"/>
          <w:strike w:val="0"/>
          <w:sz w:val="22"/>
          <w:highlight w:val="cyan"/>
          <w:u w:val="single"/>
        </w:rPr>
        <w:t>emphasized</w:t>
      </w:r>
      <w:r>
        <w:rPr>
          <w:b/>
          <w:i w:val="0"/>
          <w:smallCaps w:val="0"/>
          <w:strike w:val="0"/>
          <w:sz w:val="22"/>
          <w:u w:val="single"/>
        </w:rPr>
        <w:t xml:space="preserve"> the </w:t>
      </w:r>
      <w:r>
        <w:rPr>
          <w:b/>
          <w:i w:val="0"/>
          <w:smallCaps w:val="0"/>
          <w:strike w:val="0"/>
          <w:sz w:val="22"/>
          <w:highlight w:val="cyan"/>
          <w:u w:val="single"/>
        </w:rPr>
        <w:t>sweeping character</w:t>
      </w:r>
      <w:r>
        <w:rPr>
          <w:b/>
          <w:i w:val="0"/>
          <w:smallCaps w:val="0"/>
          <w:strike w:val="0"/>
          <w:sz w:val="22"/>
          <w:highlight w:val="cyan"/>
          <w:u w:val="single"/>
        </w:rPr>
        <w:t xml:space="preserve"> of</w:t>
      </w:r>
      <w:r>
        <w:rPr>
          <w:b/>
          <w:i w:val="0"/>
          <w:smallCaps w:val="0"/>
          <w:strike w:val="0"/>
          <w:sz w:val="22"/>
          <w:u w:val="single"/>
        </w:rPr>
        <w:t xml:space="preserve"> this </w:t>
      </w:r>
      <w:r>
        <w:rPr>
          <w:b/>
          <w:i w:val="0"/>
          <w:smallCaps w:val="0"/>
          <w:strike w:val="0"/>
          <w:sz w:val="22"/>
          <w:highlight w:val="cyan"/>
          <w:u w:val="single"/>
        </w:rPr>
        <w:t>power</w:t>
      </w:r>
      <w:r>
        <w:rPr>
          <w:b/>
          <w:i w:val="0"/>
          <w:smallCaps w:val="0"/>
          <w:strike w:val="0"/>
          <w:sz w:val="22"/>
          <w:u w:val="single"/>
        </w:rPr>
        <w:t xml:space="preserve"> by </w:t>
      </w:r>
      <w:r>
        <w:rPr>
          <w:b/>
          <w:i w:val="0"/>
          <w:smallCaps w:val="0"/>
          <w:strike w:val="0"/>
          <w:sz w:val="22"/>
          <w:highlight w:val="cyan"/>
          <w:u w:val="single"/>
        </w:rPr>
        <w:t>saying</w:t>
      </w:r>
      <w:r>
        <w:rPr>
          <w:b/>
          <w:i w:val="0"/>
          <w:smallCaps w:val="0"/>
          <w:strike w:val="0"/>
          <w:sz w:val="22"/>
          <w:u w:val="single"/>
        </w:rPr>
        <w:t xml:space="preserve"> from time to time that </w:t>
      </w:r>
      <w:r>
        <w:rPr>
          <w:b/>
          <w:i w:val="0"/>
          <w:smallCaps w:val="0"/>
          <w:strike w:val="0"/>
          <w:sz w:val="22"/>
          <w:highlight w:val="cyan"/>
          <w:u w:val="single"/>
        </w:rPr>
        <w:t xml:space="preserve">it </w:t>
      </w:r>
      <w:r>
        <w:rPr>
          <w:b/>
          <w:i w:val="0"/>
          <w:smallCaps w:val="0"/>
          <w:strike w:val="0"/>
          <w:sz w:val="22"/>
          <w:highlight w:val="cyan"/>
          <w:u w:val="single"/>
        </w:rPr>
        <w:t>“reaches every subject,”</w:t>
      </w:r>
      <w:r>
        <w:rPr>
          <w:b w:val="0"/>
          <w:i w:val="0"/>
          <w:smallCaps w:val="0"/>
          <w:strike w:val="0"/>
          <w:sz w:val="16"/>
          <w:u w:val="none"/>
        </w:rPr>
        <w:t xml:space="preserve">23 </w:t>
      </w:r>
      <w:r>
        <w:rPr>
          <w:b/>
          <w:i w:val="0"/>
          <w:smallCaps w:val="0"/>
          <w:strike w:val="0"/>
          <w:sz w:val="22"/>
          <w:u w:val="single"/>
        </w:rPr>
        <w:t xml:space="preserve">that </w:t>
      </w:r>
      <w:r>
        <w:rPr>
          <w:b/>
          <w:i w:val="0"/>
          <w:smallCaps w:val="0"/>
          <w:strike w:val="0"/>
          <w:sz w:val="22"/>
          <w:highlight w:val="cyan"/>
          <w:u w:val="single"/>
        </w:rPr>
        <w:t xml:space="preserve">it is </w:t>
      </w:r>
      <w:r>
        <w:rPr>
          <w:b/>
          <w:i w:val="0"/>
          <w:smallCaps w:val="0"/>
          <w:strike w:val="0"/>
          <w:sz w:val="22"/>
          <w:highlight w:val="cyan"/>
          <w:u w:val="single"/>
        </w:rPr>
        <w:t>“exhaustive”</w:t>
      </w:r>
      <w:r>
        <w:rPr>
          <w:b w:val="0"/>
          <w:i w:val="0"/>
          <w:smallCaps w:val="0"/>
          <w:strike w:val="0"/>
          <w:sz w:val="16"/>
          <w:u w:val="none"/>
        </w:rPr>
        <w:t xml:space="preserve">24 </w:t>
      </w:r>
      <w:r>
        <w:rPr>
          <w:b/>
          <w:i w:val="0"/>
          <w:smallCaps w:val="0"/>
          <w:strike w:val="0"/>
          <w:sz w:val="22"/>
          <w:highlight w:val="cyan"/>
          <w:u w:val="single"/>
        </w:rPr>
        <w:t>or</w:t>
      </w:r>
      <w:r>
        <w:rPr>
          <w:b/>
          <w:i w:val="0"/>
          <w:smallCaps w:val="0"/>
          <w:strike w:val="0"/>
          <w:sz w:val="22"/>
          <w:u w:val="single"/>
        </w:rPr>
        <w:t xml:space="preserve"> that </w:t>
      </w:r>
      <w:r>
        <w:rPr>
          <w:b/>
          <w:i w:val="0"/>
          <w:smallCaps w:val="0"/>
          <w:strike w:val="0"/>
          <w:sz w:val="22"/>
          <w:highlight w:val="cyan"/>
          <w:u w:val="single"/>
        </w:rPr>
        <w:t xml:space="preserve">it “embraces </w:t>
      </w:r>
      <w:r>
        <w:rPr>
          <w:b/>
          <w:i w:val="0"/>
          <w:smallCaps w:val="0"/>
          <w:strike w:val="0"/>
          <w:sz w:val="22"/>
          <w:highlight w:val="cyan"/>
          <w:u w:val="single"/>
        </w:rPr>
        <w:t>every conceivable power</w:t>
      </w:r>
      <w:r>
        <w:rPr>
          <w:b/>
          <w:i w:val="0"/>
          <w:smallCaps w:val="0"/>
          <w:strike w:val="0"/>
          <w:sz w:val="22"/>
          <w:u w:val="single"/>
        </w:rPr>
        <w:t xml:space="preserve"> of taxation.”</w:t>
      </w:r>
      <w:r>
        <w:rPr>
          <w:b w:val="0"/>
          <w:i w:val="0"/>
          <w:smallCaps w:val="0"/>
          <w:strike w:val="0"/>
          <w:sz w:val="16"/>
          <w:u w:val="none"/>
        </w:rPr>
        <w:t xml:space="preserve">25 </w:t>
      </w:r>
      <w:r>
        <w:rPr>
          <w:b/>
          <w:i w:val="0"/>
          <w:smallCaps w:val="0"/>
          <w:strike w:val="0"/>
          <w:sz w:val="22"/>
          <w:highlight w:val="cyan"/>
          <w:u w:val="single"/>
        </w:rPr>
        <w:t xml:space="preserve">The </w:t>
      </w:r>
      <w:r>
        <w:rPr>
          <w:b/>
          <w:i w:val="0"/>
          <w:smallCaps w:val="0"/>
          <w:strike w:val="0"/>
          <w:sz w:val="22"/>
          <w:highlight w:val="cyan"/>
          <w:u w:val="single"/>
        </w:rPr>
        <w:t>few</w:t>
      </w:r>
      <w:r>
        <w:rPr>
          <w:b/>
          <w:i w:val="0"/>
          <w:smallCaps w:val="0"/>
          <w:strike w:val="0"/>
          <w:sz w:val="22"/>
          <w:u w:val="single"/>
        </w:rPr>
        <w:t xml:space="preserve"> subject matter </w:t>
      </w:r>
      <w:r>
        <w:rPr>
          <w:b/>
          <w:i w:val="0"/>
          <w:smallCaps w:val="0"/>
          <w:strike w:val="0"/>
          <w:sz w:val="22"/>
          <w:highlight w:val="cyan"/>
          <w:u w:val="single"/>
        </w:rPr>
        <w:t>limitations imposed</w:t>
      </w:r>
      <w:r>
        <w:rPr>
          <w:b/>
          <w:i w:val="0"/>
          <w:smallCaps w:val="0"/>
          <w:strike w:val="0"/>
          <w:sz w:val="22"/>
          <w:u w:val="single"/>
        </w:rPr>
        <w:t xml:space="preserve"> in the past </w:t>
      </w:r>
      <w:r>
        <w:rPr>
          <w:b/>
          <w:i w:val="0"/>
          <w:smallCaps w:val="0"/>
          <w:strike w:val="0"/>
          <w:sz w:val="22"/>
          <w:highlight w:val="cyan"/>
          <w:u w:val="single"/>
        </w:rPr>
        <w:t xml:space="preserve">have been </w:t>
      </w:r>
      <w:r>
        <w:rPr>
          <w:b/>
          <w:i w:val="0"/>
          <w:smallCaps w:val="0"/>
          <w:strike w:val="0"/>
          <w:sz w:val="22"/>
          <w:highlight w:val="cyan"/>
          <w:u w:val="single"/>
        </w:rPr>
        <w:t>overruled</w:t>
      </w:r>
      <w:r>
        <w:rPr>
          <w:b w:val="0"/>
          <w:i w:val="0"/>
          <w:smallCaps w:val="0"/>
          <w:strike w:val="0"/>
          <w:sz w:val="16"/>
          <w:u w:val="none"/>
        </w:rPr>
        <w:t>.26 Most strikingly, since 1920 the Court has refused to rule any federal income tax statute unconstitutional.27</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