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</w:t>
      </w:r>
      <w:r>
        <w:rPr>
          <w:b/>
          <w:i w:val="0"/>
          <w:smallCaps w:val="0"/>
          <w:strike w:val="0"/>
          <w:sz w:val="26"/>
          <w:u w:val="single"/>
        </w:rPr>
        <w:t>shift</w:t>
      </w:r>
      <w:r>
        <w:rPr>
          <w:b/>
          <w:i w:val="0"/>
          <w:smallCaps w:val="0"/>
          <w:strike w:val="0"/>
          <w:sz w:val="26"/>
          <w:u w:val="none"/>
        </w:rPr>
        <w:t xml:space="preserve"> in </w:t>
      </w:r>
      <w:r>
        <w:rPr>
          <w:b/>
          <w:i w:val="0"/>
          <w:smallCaps w:val="0"/>
          <w:strike w:val="0"/>
          <w:sz w:val="26"/>
          <w:u w:val="none"/>
        </w:rPr>
        <w:t>regulatory</w:t>
      </w:r>
      <w:r>
        <w:rPr>
          <w:b/>
          <w:i w:val="0"/>
          <w:smallCaps w:val="0"/>
          <w:strike w:val="0"/>
          <w:sz w:val="26"/>
          <w:u w:val="none"/>
        </w:rPr>
        <w:t xml:space="preserve"> function </w:t>
      </w:r>
      <w:r>
        <w:rPr>
          <w:b/>
          <w:i w:val="0"/>
          <w:smallCaps w:val="0"/>
          <w:strike w:val="0"/>
          <w:sz w:val="26"/>
          <w:u w:val="single"/>
        </w:rPr>
        <w:t>spills over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Hyman ’14 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>David and William Kovacic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 w:val="0"/>
          <w:i w:val="0"/>
          <w:smallCaps w:val="0"/>
          <w:strike w:val="0"/>
          <w:u w:val="none"/>
        </w:rPr>
        <w:t>November 3</w:t>
      </w:r>
      <w:r>
        <w:rPr>
          <w:b w:val="0"/>
          <w:i w:val="0"/>
          <w:smallCaps w:val="0"/>
          <w:strike w:val="0"/>
          <w:u w:val="none"/>
        </w:rPr>
        <w:t>; H. Ross and Helen Workman Chair in Law and Professor of Medicine, B.A., M.D., and J.D. from the University of Chicago</w:t>
      </w:r>
      <w:r>
        <w:rPr>
          <w:b w:val="0"/>
          <w:i w:val="0"/>
          <w:smallCaps w:val="0"/>
          <w:strike w:val="0"/>
          <w:u w:val="none"/>
        </w:rPr>
        <w:t xml:space="preserve">; </w:t>
      </w:r>
      <w:r>
        <w:rPr>
          <w:b w:val="0"/>
          <w:i w:val="0"/>
          <w:smallCaps w:val="0"/>
          <w:strike w:val="0"/>
          <w:u w:val="none"/>
        </w:rPr>
        <w:t xml:space="preserve">Global Competition Professor of Law and Policy, George Washington University Law School and Non-Executive Director, United Kingdom Competition and Markets Authority; GW Law Faculty Publications and Other Works, “Competition Agencies with Complex Policy Portfolios: Divide or Conquer?” </w:t>
      </w:r>
      <w:r>
        <w:rPr>
          <w:b w:val="0"/>
          <w:i w:val="0"/>
          <w:smallCaps w:val="0"/>
          <w:strike w:val="0"/>
          <w:u w:val="none"/>
        </w:rPr>
        <w:t>no. 631]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When regulatory tasks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reallocated</w:t>
      </w:r>
      <w:r>
        <w:rPr>
          <w:b/>
          <w:i w:val="0"/>
          <w:smallCaps w:val="0"/>
          <w:strike w:val="0"/>
          <w:sz w:val="22"/>
          <w:u w:val="single"/>
        </w:rPr>
        <w:t xml:space="preserve">, or a new agency is </w:t>
      </w:r>
      <w:r>
        <w:rPr>
          <w:b/>
          <w:i w:val="0"/>
          <w:smallCaps w:val="0"/>
          <w:strike w:val="0"/>
          <w:sz w:val="22"/>
          <w:u w:val="single"/>
        </w:rPr>
        <w:t>inserted</w:t>
      </w:r>
      <w:r>
        <w:rPr>
          <w:b/>
          <w:i w:val="0"/>
          <w:smallCaps w:val="0"/>
          <w:strike w:val="0"/>
          <w:sz w:val="22"/>
          <w:u w:val="single"/>
        </w:rPr>
        <w:t xml:space="preserve"> into the mix, or </w:t>
      </w:r>
      <w:r>
        <w:rPr>
          <w:b/>
          <w:i w:val="0"/>
          <w:smallCaps w:val="0"/>
          <w:strike w:val="0"/>
          <w:sz w:val="22"/>
          <w:u w:val="single"/>
        </w:rPr>
        <w:t>new powers</w:t>
      </w:r>
      <w:r>
        <w:rPr>
          <w:b/>
          <w:i w:val="0"/>
          <w:smallCaps w:val="0"/>
          <w:strike w:val="0"/>
          <w:sz w:val="22"/>
          <w:u w:val="single"/>
        </w:rPr>
        <w:t xml:space="preserve"> are given to an existing agency,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there is</w:t>
      </w:r>
      <w:r>
        <w:rPr>
          <w:b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significant potential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disrupt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this</w:t>
      </w:r>
      <w:r>
        <w:rPr>
          <w:b/>
          <w:i w:val="0"/>
          <w:smallCaps w:val="0"/>
          <w:strike w:val="0"/>
          <w:sz w:val="22"/>
          <w:u w:val="single"/>
        </w:rPr>
        <w:t xml:space="preserve"> regulatory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ecosystem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Disruption can take a variety of forms.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new entrant</w:t>
      </w:r>
      <w:r>
        <w:rPr>
          <w:b/>
          <w:i w:val="0"/>
          <w:smallCaps w:val="0"/>
          <w:strike w:val="0"/>
          <w:sz w:val="22"/>
          <w:u w:val="single"/>
        </w:rPr>
        <w:t xml:space="preserve"> may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siphon off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money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personnel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making it difficult for incumbent agencies to perform their existing responsibilities. </w:t>
      </w:r>
      <w:r>
        <w:rPr>
          <w:b/>
          <w:i w:val="0"/>
          <w:smallCaps w:val="0"/>
          <w:strike w:val="0"/>
          <w:sz w:val="22"/>
          <w:u w:val="single"/>
        </w:rPr>
        <w:t>Reallocation</w:t>
      </w:r>
      <w:r>
        <w:rPr>
          <w:b/>
          <w:i w:val="0"/>
          <w:smallCaps w:val="0"/>
          <w:strike w:val="0"/>
          <w:sz w:val="22"/>
          <w:u w:val="single"/>
        </w:rPr>
        <w:t xml:space="preserve"> of authority may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upset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longstanding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understandings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formed the basis for fruitful inter-agency collaboration. </w:t>
      </w:r>
      <w:r>
        <w:rPr>
          <w:b/>
          <w:i w:val="0"/>
          <w:smallCaps w:val="0"/>
          <w:strike w:val="0"/>
          <w:sz w:val="22"/>
          <w:u w:val="single"/>
        </w:rPr>
        <w:t xml:space="preserve">The entrant may receive a substantive mandate whose formal commands resemble the language that appears in the statutes of </w:t>
      </w:r>
      <w:r>
        <w:rPr>
          <w:b/>
          <w:i w:val="0"/>
          <w:smallCaps w:val="0"/>
          <w:strike w:val="0"/>
          <w:sz w:val="22"/>
          <w:u w:val="single"/>
        </w:rPr>
        <w:t>other</w:t>
      </w:r>
      <w:r>
        <w:rPr>
          <w:b/>
          <w:i w:val="0"/>
          <w:smallCaps w:val="0"/>
          <w:strike w:val="0"/>
          <w:sz w:val="22"/>
          <w:u w:val="single"/>
        </w:rPr>
        <w:t xml:space="preserve"> regulatory authorities.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interpretation of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new</w:t>
      </w:r>
      <w:r>
        <w:rPr>
          <w:b/>
          <w:i w:val="0"/>
          <w:smallCaps w:val="0"/>
          <w:strike w:val="0"/>
          <w:sz w:val="22"/>
          <w:u w:val="single"/>
        </w:rPr>
        <w:t xml:space="preserve"> entrant’s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mandate</w:t>
      </w:r>
      <w:r>
        <w:rPr>
          <w:b/>
          <w:i w:val="0"/>
          <w:smallCaps w:val="0"/>
          <w:strike w:val="0"/>
          <w:sz w:val="22"/>
          <w:u w:val="single"/>
        </w:rPr>
        <w:t xml:space="preserve">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judicial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could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spill over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into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interpretation of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mandates of other agencies in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separate cases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Taxes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