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It sets a </w:t>
      </w:r>
      <w:r>
        <w:rPr>
          <w:b/>
          <w:i w:val="0"/>
          <w:smallCaps w:val="0"/>
          <w:strike w:val="0"/>
          <w:sz w:val="26"/>
          <w:u w:val="single"/>
        </w:rPr>
        <w:t>precedent</w:t>
      </w:r>
      <w:r>
        <w:rPr>
          <w:b/>
          <w:i w:val="0"/>
          <w:smallCaps w:val="0"/>
          <w:strike w:val="0"/>
          <w:sz w:val="26"/>
          <w:u w:val="none"/>
        </w:rPr>
        <w:t xml:space="preserve"> for other tax areas. 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 xml:space="preserve">Grewal ’16 </w:t>
      </w:r>
      <w:r>
        <w:rPr>
          <w:b w:val="0"/>
          <w:i w:val="0"/>
          <w:smallCaps w:val="0"/>
          <w:strike w:val="0"/>
          <w:u w:val="none"/>
        </w:rPr>
        <w:t>[Amandeep; 2016; Joseph F. Rosenfield Scholar and Professor of Law at the University of Iowa; Iowa Law Review, “The Un-Precedented Tax Court,” vol. 101]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The nonprecedential status of these Tax Court opinions gives rise to practical problems, however.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A</w:t>
      </w:r>
      <w:r>
        <w:rPr>
          <w:b/>
          <w:i w:val="0"/>
          <w:smallCaps w:val="0"/>
          <w:strike w:val="0"/>
          <w:sz w:val="22"/>
          <w:u w:val="single"/>
        </w:rPr>
        <w:t xml:space="preserve"> judicial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exposition</w:t>
      </w:r>
      <w:r>
        <w:rPr>
          <w:b/>
          <w:i w:val="0"/>
          <w:smallCaps w:val="0"/>
          <w:strike w:val="0"/>
          <w:sz w:val="22"/>
          <w:u w:val="single"/>
        </w:rPr>
        <w:t xml:space="preserve"> of a case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is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difficult to ignore</w:t>
      </w:r>
      <w:r>
        <w:rPr>
          <w:b/>
          <w:i w:val="0"/>
          <w:smallCaps w:val="0"/>
          <w:strike w:val="0"/>
          <w:sz w:val="22"/>
          <w:u w:val="single"/>
        </w:rPr>
        <w:t xml:space="preserve">, and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taxpayers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frequently invoke</w:t>
      </w:r>
      <w:r>
        <w:rPr>
          <w:b/>
          <w:i w:val="0"/>
          <w:smallCaps w:val="0"/>
          <w:strike w:val="0"/>
          <w:sz w:val="22"/>
          <w:u w:val="single"/>
        </w:rPr>
        <w:t xml:space="preserve"> Memo or 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opinions</w:t>
      </w:r>
      <w:r>
        <w:rPr>
          <w:b/>
          <w:i w:val="0"/>
          <w:smallCaps w:val="0"/>
          <w:strike w:val="0"/>
          <w:sz w:val="22"/>
          <w:u w:val="single"/>
        </w:rPr>
        <w:t xml:space="preserve"> as authority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in connection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 with</w:t>
      </w:r>
      <w:r>
        <w:rPr>
          <w:b/>
          <w:i w:val="0"/>
          <w:smallCaps w:val="0"/>
          <w:strike w:val="0"/>
          <w:sz w:val="22"/>
          <w:u w:val="single"/>
        </w:rPr>
        <w:t xml:space="preserve"> their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tax disputes</w:t>
      </w:r>
      <w:r>
        <w:rPr>
          <w:b/>
          <w:i w:val="0"/>
          <w:smallCaps w:val="0"/>
          <w:strike w:val="0"/>
          <w:sz w:val="22"/>
          <w:u w:val="single"/>
        </w:rPr>
        <w:t xml:space="preserve">, whether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in front of</w:t>
      </w:r>
      <w:r>
        <w:rPr>
          <w:b/>
          <w:i w:val="0"/>
          <w:smallCaps w:val="0"/>
          <w:strike w:val="0"/>
          <w:sz w:val="22"/>
          <w:u w:val="single"/>
        </w:rPr>
        <w:t xml:space="preserve">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IRS</w:t>
      </w:r>
      <w:r>
        <w:rPr>
          <w:b/>
          <w:i w:val="0"/>
          <w:smallCaps w:val="0"/>
          <w:strike w:val="0"/>
          <w:sz w:val="22"/>
          <w:u w:val="single"/>
        </w:rPr>
        <w:t xml:space="preserve">,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Tax Court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, or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other</w:t>
      </w:r>
      <w:r>
        <w:rPr>
          <w:b/>
          <w:i w:val="0"/>
          <w:smallCaps w:val="0"/>
          <w:strike w:val="0"/>
          <w:sz w:val="22"/>
          <w:u w:val="single"/>
        </w:rPr>
        <w:t xml:space="preserve"> federal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courts</w:t>
      </w:r>
      <w:r>
        <w:rPr>
          <w:b/>
          <w:i w:val="0"/>
          <w:smallCaps w:val="0"/>
          <w:strike w:val="0"/>
          <w:sz w:val="22"/>
          <w:u w:val="single"/>
        </w:rPr>
        <w:t xml:space="preserve">. And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Tax Court</w:t>
      </w:r>
      <w:r>
        <w:rPr>
          <w:b/>
          <w:i w:val="0"/>
          <w:smallCaps w:val="0"/>
          <w:strike w:val="0"/>
          <w:sz w:val="22"/>
          <w:u w:val="single"/>
        </w:rPr>
        <w:t xml:space="preserve"> seemingly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cannot ignore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 its</w:t>
      </w:r>
      <w:r>
        <w:rPr>
          <w:b/>
          <w:i w:val="0"/>
          <w:smallCaps w:val="0"/>
          <w:strike w:val="0"/>
          <w:sz w:val="22"/>
          <w:u w:val="single"/>
        </w:rPr>
        <w:t xml:space="preserve"> own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opinions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Although plenty of cases dismiss Memo opinions as nonprecedential,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other cases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treat them like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persuasive</w:t>
      </w:r>
      <w:r>
        <w:rPr>
          <w:b/>
          <w:i w:val="0"/>
          <w:smallCaps w:val="0"/>
          <w:strike w:val="0"/>
          <w:sz w:val="22"/>
          <w:u w:val="single"/>
        </w:rPr>
        <w:t xml:space="preserve"> or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binding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 authorities</w:t>
      </w:r>
      <w:r>
        <w:rPr>
          <w:b w:val="0"/>
          <w:i w:val="0"/>
          <w:smallCaps w:val="0"/>
          <w:strike w:val="0"/>
          <w:sz w:val="16"/>
          <w:u w:val="none"/>
        </w:rPr>
        <w:t>. More troubling still, Memo opinions sometimes address controversial issues of tax law, and not only heavily factual or clear-cut legal issues. The ambiguous weight of Memo opinions thus sows confusion in the tax law.</w:t>
      </w:r>
    </w:p>
    <w:p>
      <w:pPr>
        <w:pStyle w:val="Caption"/>
      </w:pPr>
      <w:r>
        <w:t>Source: Taxes CP - Michigan 7 2024 BFHR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