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3. </w:t>
      </w:r>
      <w:r>
        <w:rPr>
          <w:b/>
          <w:i w:val="0"/>
          <w:smallCaps w:val="0"/>
          <w:strike w:val="0"/>
          <w:sz w:val="26"/>
          <w:u w:val="single"/>
        </w:rPr>
        <w:t>STANDARD-SETTING</w:t>
      </w:r>
      <w:r>
        <w:rPr>
          <w:b/>
          <w:i w:val="0"/>
          <w:smallCaps w:val="0"/>
          <w:strike w:val="0"/>
          <w:sz w:val="26"/>
          <w:u w:val="none"/>
        </w:rPr>
        <w:t xml:space="preserve">---the perm makes </w:t>
      </w:r>
      <w:r>
        <w:rPr>
          <w:b/>
          <w:i w:val="0"/>
          <w:smallCaps w:val="0"/>
          <w:strike w:val="0"/>
          <w:sz w:val="26"/>
          <w:u w:val="single"/>
        </w:rPr>
        <w:t>taxes</w:t>
      </w:r>
      <w:r>
        <w:rPr>
          <w:b/>
          <w:i w:val="0"/>
          <w:smallCaps w:val="0"/>
          <w:strike w:val="0"/>
          <w:sz w:val="26"/>
          <w:u w:val="none"/>
        </w:rPr>
        <w:t xml:space="preserve"> and IPR </w:t>
      </w:r>
      <w:r>
        <w:rPr>
          <w:b/>
          <w:i w:val="0"/>
          <w:smallCaps w:val="0"/>
          <w:strike w:val="0"/>
          <w:sz w:val="26"/>
          <w:u w:val="single"/>
        </w:rPr>
        <w:t>co-dependent</w:t>
      </w:r>
      <w:r>
        <w:rPr>
          <w:b/>
          <w:i w:val="0"/>
          <w:smallCaps w:val="0"/>
          <w:strike w:val="0"/>
          <w:sz w:val="26"/>
          <w:u w:val="none"/>
        </w:rPr>
        <w:t xml:space="preserve">, denying a </w:t>
      </w:r>
      <w:r>
        <w:rPr>
          <w:b/>
          <w:i w:val="0"/>
          <w:smallCaps w:val="0"/>
          <w:strike w:val="0"/>
          <w:sz w:val="26"/>
          <w:u w:val="single"/>
        </w:rPr>
        <w:t>special status</w:t>
      </w:r>
      <w:r>
        <w:rPr>
          <w:b/>
          <w:i w:val="0"/>
          <w:smallCaps w:val="0"/>
          <w:strike w:val="0"/>
          <w:sz w:val="26"/>
          <w:u w:val="none"/>
        </w:rPr>
        <w:t xml:space="preserve"> for regulatory taxation.</w:t>
      </w:r>
    </w:p>
    <w:p>
      <w:pPr>
        <w:spacing w:after="80"/>
      </w:pPr>
      <w:r>
        <w:rPr>
          <w:b/>
          <w:i w:val="0"/>
          <w:smallCaps w:val="0"/>
          <w:strike w:val="0"/>
          <w:sz w:val="26"/>
          <w:u w:val="none"/>
        </w:rPr>
        <w:t xml:space="preserve">Kobylnik ’21 </w:t>
      </w:r>
      <w:r>
        <w:rPr>
          <w:b w:val="0"/>
          <w:i w:val="0"/>
          <w:smallCaps w:val="0"/>
          <w:strike w:val="0"/>
          <w:u w:val="none"/>
        </w:rPr>
        <w:t xml:space="preserve">[Dmytro; January 4; PhD in Law, Associate Professor, Associate Professor of the Department of Financial Law of Yaroslav Mudryi National Law University; Law and Innovative Society, “The Impact of Tax Policy on the Implementation of the Regulatory Function of Tax Law,” </w:t>
      </w:r>
      <w:r>
        <w:rPr>
          <w:b w:val="0"/>
          <w:i w:val="0"/>
          <w:smallCaps w:val="0"/>
          <w:strike w:val="0"/>
          <w:u w:val="none"/>
        </w:rPr>
        <w:t>, translated via Google Translate]</w:t>
      </w:r>
    </w:p>
    <w:p>
      <w:pPr>
        <w:spacing w:after="60"/>
      </w:pPr>
      <w:r>
        <w:rPr>
          <w:b w:val="0"/>
          <w:i w:val="0"/>
          <w:smallCaps w:val="0"/>
          <w:strike w:val="0"/>
          <w:sz w:val="16"/>
          <w:u w:val="none"/>
        </w:rPr>
        <w:t xml:space="preserve">Conclusions and prospects for the development. As we have shown, tax policy has its own meaning, it is organically linked to tax law, which by implementing the regulatory function implements the vectors indicated by the policy. </w:t>
      </w:r>
      <w:r>
        <w:rPr>
          <w:b/>
          <w:i w:val="0"/>
          <w:smallCaps w:val="0"/>
          <w:strike w:val="0"/>
          <w:sz w:val="22"/>
          <w:u w:val="single"/>
        </w:rPr>
        <w:t xml:space="preserve">Given the </w:t>
      </w:r>
      <w:r>
        <w:rPr>
          <w:b/>
          <w:i w:val="0"/>
          <w:smallCaps w:val="0"/>
          <w:strike w:val="0"/>
          <w:sz w:val="22"/>
          <w:u w:val="single"/>
        </w:rPr>
        <w:t>profound transformation</w:t>
      </w:r>
      <w:r>
        <w:rPr>
          <w:b w:val="0"/>
          <w:i w:val="0"/>
          <w:smallCaps w:val="0"/>
          <w:strike w:val="0"/>
          <w:sz w:val="16"/>
          <w:u w:val="none"/>
        </w:rPr>
        <w:t xml:space="preserve"> of public relations </w:t>
      </w:r>
      <w:r>
        <w:rPr>
          <w:b/>
          <w:i w:val="0"/>
          <w:smallCaps w:val="0"/>
          <w:strike w:val="0"/>
          <w:sz w:val="22"/>
          <w:u w:val="single"/>
        </w:rPr>
        <w:t>that has taken place</w:t>
      </w:r>
      <w:r>
        <w:rPr>
          <w:b w:val="0"/>
          <w:i w:val="0"/>
          <w:smallCaps w:val="0"/>
          <w:strike w:val="0"/>
          <w:sz w:val="16"/>
          <w:u w:val="none"/>
        </w:rPr>
        <w:t xml:space="preserve"> in our country </w:t>
      </w:r>
      <w:r>
        <w:rPr>
          <w:b/>
          <w:i w:val="0"/>
          <w:smallCaps w:val="0"/>
          <w:strike w:val="0"/>
          <w:sz w:val="22"/>
          <w:u w:val="single"/>
        </w:rPr>
        <w:t xml:space="preserve">in recent years, </w:t>
      </w:r>
      <w:r>
        <w:rPr>
          <w:b/>
          <w:i w:val="0"/>
          <w:smallCaps w:val="0"/>
          <w:strike w:val="0"/>
          <w:sz w:val="22"/>
          <w:highlight w:val="cyan"/>
          <w:u w:val="single"/>
        </w:rPr>
        <w:t xml:space="preserve">tax policy should be given a </w:t>
      </w:r>
      <w:r>
        <w:rPr>
          <w:b/>
          <w:i w:val="0"/>
          <w:smallCaps w:val="0"/>
          <w:strike w:val="0"/>
          <w:sz w:val="22"/>
          <w:u w:val="single"/>
        </w:rPr>
        <w:t xml:space="preserve">special </w:t>
      </w:r>
      <w:r>
        <w:rPr>
          <w:b/>
          <w:i w:val="0"/>
          <w:smallCaps w:val="0"/>
          <w:strike w:val="0"/>
          <w:sz w:val="22"/>
          <w:highlight w:val="cyan"/>
          <w:u w:val="single"/>
        </w:rPr>
        <w:t>role</w:t>
      </w:r>
      <w:r>
        <w:rPr>
          <w:b/>
          <w:i w:val="0"/>
          <w:smallCaps w:val="0"/>
          <w:strike w:val="0"/>
          <w:sz w:val="24"/>
          <w:highlight w:val="cyan"/>
          <w:u w:val="single"/>
        </w:rPr>
        <w:t xml:space="preserve"> </w:t>
      </w:r>
      <w:r>
        <w:rPr>
          <w:b/>
          <w:i w:val="0"/>
          <w:smallCaps w:val="0"/>
          <w:strike w:val="0"/>
          <w:sz w:val="22"/>
          <w:highlight w:val="cyan"/>
          <w:u w:val="single"/>
        </w:rPr>
        <w:t xml:space="preserve">as a </w:t>
      </w:r>
      <w:r>
        <w:rPr>
          <w:b/>
          <w:i w:val="0"/>
          <w:smallCaps w:val="0"/>
          <w:strike w:val="0"/>
          <w:sz w:val="22"/>
          <w:highlight w:val="cyan"/>
          <w:u w:val="single"/>
        </w:rPr>
        <w:t>strong foundation</w:t>
      </w:r>
      <w:r>
        <w:rPr>
          <w:b/>
          <w:i w:val="0"/>
          <w:smallCaps w:val="0"/>
          <w:strike w:val="0"/>
          <w:sz w:val="24"/>
          <w:highlight w:val="cyan"/>
          <w:u w:val="single"/>
        </w:rPr>
        <w:t xml:space="preserve"> </w:t>
      </w:r>
      <w:r>
        <w:rPr>
          <w:b/>
          <w:i w:val="0"/>
          <w:smallCaps w:val="0"/>
          <w:strike w:val="0"/>
          <w:sz w:val="22"/>
          <w:highlight w:val="cyan"/>
          <w:u w:val="single"/>
        </w:rPr>
        <w:t>for</w:t>
      </w:r>
      <w:r>
        <w:rPr>
          <w:b/>
          <w:i w:val="0"/>
          <w:smallCaps w:val="0"/>
          <w:strike w:val="0"/>
          <w:sz w:val="22"/>
          <w:u w:val="single"/>
        </w:rPr>
        <w:t xml:space="preserve"> ensuring the effectiveness of tax and legal </w:t>
      </w:r>
      <w:r>
        <w:rPr>
          <w:b/>
          <w:i w:val="0"/>
          <w:smallCaps w:val="0"/>
          <w:strike w:val="0"/>
          <w:sz w:val="22"/>
          <w:highlight w:val="cyan"/>
          <w:u w:val="single"/>
        </w:rPr>
        <w:t>regulation</w:t>
      </w:r>
      <w:r>
        <w:rPr>
          <w:b w:val="0"/>
          <w:i w:val="0"/>
          <w:smallCaps w:val="0"/>
          <w:strike w:val="0"/>
          <w:sz w:val="16"/>
          <w:u w:val="none"/>
        </w:rPr>
        <w:t>.</w:t>
      </w:r>
    </w:p>
    <w:p>
      <w:pPr>
        <w:spacing w:after="60"/>
      </w:pPr>
      <w:r>
        <w:rPr>
          <w:b w:val="0"/>
          <w:i w:val="0"/>
          <w:smallCaps w:val="0"/>
          <w:strike w:val="0"/>
          <w:sz w:val="16"/>
          <w:u w:val="none"/>
        </w:rPr>
        <w:t xml:space="preserve">Formulation of the problem. </w:t>
      </w:r>
      <w:r>
        <w:rPr>
          <w:b/>
          <w:i w:val="0"/>
          <w:smallCaps w:val="0"/>
          <w:strike w:val="0"/>
          <w:sz w:val="22"/>
          <w:highlight w:val="cyan"/>
          <w:u w:val="single"/>
        </w:rPr>
        <w:t>The</w:t>
      </w:r>
      <w:r>
        <w:rPr>
          <w:b w:val="0"/>
          <w:i w:val="0"/>
          <w:smallCaps w:val="0"/>
          <w:strike w:val="0"/>
          <w:sz w:val="16"/>
          <w:u w:val="none"/>
        </w:rPr>
        <w:t xml:space="preserve"> social </w:t>
      </w:r>
      <w:r>
        <w:rPr>
          <w:b/>
          <w:i w:val="0"/>
          <w:smallCaps w:val="0"/>
          <w:strike w:val="0"/>
          <w:sz w:val="22"/>
          <w:highlight w:val="cyan"/>
          <w:u w:val="single"/>
        </w:rPr>
        <w:t>value</w:t>
      </w:r>
      <w:r>
        <w:rPr>
          <w:b/>
          <w:i w:val="0"/>
          <w:smallCaps w:val="0"/>
          <w:strike w:val="0"/>
          <w:sz w:val="22"/>
          <w:u w:val="single"/>
        </w:rPr>
        <w:t xml:space="preserve">, </w:t>
      </w:r>
      <w:r>
        <w:rPr>
          <w:b/>
          <w:i w:val="0"/>
          <w:smallCaps w:val="0"/>
          <w:strike w:val="0"/>
          <w:sz w:val="22"/>
          <w:u w:val="single"/>
        </w:rPr>
        <w:t>role</w:t>
      </w:r>
      <w:r>
        <w:rPr>
          <w:b/>
          <w:i w:val="0"/>
          <w:smallCaps w:val="0"/>
          <w:strike w:val="0"/>
          <w:sz w:val="22"/>
          <w:u w:val="single"/>
        </w:rPr>
        <w:t xml:space="preserve"> and </w:t>
      </w:r>
      <w:r>
        <w:rPr>
          <w:b/>
          <w:i w:val="0"/>
          <w:smallCaps w:val="0"/>
          <w:strike w:val="0"/>
          <w:sz w:val="22"/>
          <w:u w:val="single"/>
        </w:rPr>
        <w:t>purpose</w:t>
      </w:r>
      <w:r>
        <w:rPr>
          <w:b/>
          <w:i w:val="0"/>
          <w:smallCaps w:val="0"/>
          <w:strike w:val="0"/>
          <w:sz w:val="22"/>
          <w:u w:val="single"/>
        </w:rPr>
        <w:t xml:space="preserve"> of tax law </w:t>
      </w:r>
      <w:r>
        <w:rPr>
          <w:b/>
          <w:i w:val="0"/>
          <w:smallCaps w:val="0"/>
          <w:strike w:val="0"/>
          <w:sz w:val="22"/>
          <w:highlight w:val="cyan"/>
          <w:u w:val="single"/>
        </w:rPr>
        <w:t xml:space="preserve">are </w:t>
      </w:r>
      <w:r>
        <w:rPr>
          <w:b/>
          <w:i w:val="0"/>
          <w:smallCaps w:val="0"/>
          <w:strike w:val="0"/>
          <w:sz w:val="22"/>
          <w:highlight w:val="cyan"/>
          <w:u w:val="single"/>
        </w:rPr>
        <w:t>revealed</w:t>
      </w:r>
      <w:r>
        <w:rPr>
          <w:b/>
          <w:i w:val="0"/>
          <w:smallCaps w:val="0"/>
          <w:strike w:val="0"/>
          <w:sz w:val="22"/>
          <w:highlight w:val="cyan"/>
          <w:u w:val="single"/>
        </w:rPr>
        <w:t xml:space="preserve"> in</w:t>
      </w:r>
      <w:r>
        <w:rPr>
          <w:b/>
          <w:i w:val="0"/>
          <w:smallCaps w:val="0"/>
          <w:strike w:val="0"/>
          <w:sz w:val="22"/>
          <w:u w:val="single"/>
        </w:rPr>
        <w:t xml:space="preserve"> its </w:t>
      </w:r>
      <w:r>
        <w:rPr>
          <w:b/>
          <w:i w:val="0"/>
          <w:smallCaps w:val="0"/>
          <w:strike w:val="0"/>
          <w:sz w:val="22"/>
          <w:highlight w:val="cyan"/>
          <w:u w:val="single"/>
        </w:rPr>
        <w:t>functions</w:t>
      </w:r>
      <w:r>
        <w:rPr>
          <w:b/>
          <w:i w:val="0"/>
          <w:smallCaps w:val="0"/>
          <w:strike w:val="0"/>
          <w:sz w:val="22"/>
          <w:highlight w:val="cyan"/>
          <w:u w:val="single"/>
        </w:rPr>
        <w:t xml:space="preserve"> </w:t>
      </w:r>
      <w:r>
        <w:rPr>
          <w:b/>
          <w:i w:val="0"/>
          <w:smallCaps w:val="0"/>
          <w:strike w:val="0"/>
          <w:sz w:val="22"/>
          <w:highlight w:val="cyan"/>
          <w:u w:val="single"/>
        </w:rPr>
        <w:t xml:space="preserve">as the </w:t>
      </w:r>
      <w:r>
        <w:rPr>
          <w:b/>
          <w:i w:val="0"/>
          <w:smallCaps w:val="0"/>
          <w:strike w:val="0"/>
          <w:sz w:val="22"/>
          <w:highlight w:val="cyan"/>
          <w:u w:val="single"/>
        </w:rPr>
        <w:t>main</w:t>
      </w:r>
      <w:r>
        <w:rPr>
          <w:b/>
          <w:i w:val="0"/>
          <w:smallCaps w:val="0"/>
          <w:strike w:val="0"/>
          <w:sz w:val="24"/>
          <w:highlight w:val="cyan"/>
          <w:u w:val="single"/>
        </w:rPr>
        <w:t xml:space="preserve"> </w:t>
      </w:r>
      <w:r>
        <w:rPr>
          <w:b/>
          <w:i w:val="0"/>
          <w:smallCaps w:val="0"/>
          <w:strike w:val="0"/>
          <w:sz w:val="22"/>
          <w:highlight w:val="cyan"/>
          <w:u w:val="single"/>
        </w:rPr>
        <w:t>directions</w:t>
      </w:r>
      <w:r>
        <w:rPr>
          <w:b/>
          <w:i w:val="0"/>
          <w:smallCaps w:val="0"/>
          <w:strike w:val="0"/>
          <w:sz w:val="22"/>
          <w:u w:val="single"/>
        </w:rPr>
        <w:t xml:space="preserve"> of its impact on public life. At the same time, the value potential of law is revealed by both general social </w:t>
      </w:r>
      <w:r>
        <w:rPr>
          <w:b/>
          <w:i w:val="0"/>
          <w:smallCaps w:val="0"/>
          <w:strike w:val="0"/>
          <w:sz w:val="22"/>
          <w:highlight w:val="cyan"/>
          <w:u w:val="single"/>
        </w:rPr>
        <w:t xml:space="preserve">and </w:t>
      </w:r>
      <w:r>
        <w:rPr>
          <w:b/>
          <w:i w:val="0"/>
          <w:smallCaps w:val="0"/>
          <w:strike w:val="0"/>
          <w:sz w:val="22"/>
          <w:highlight w:val="cyan"/>
          <w:u w:val="single"/>
        </w:rPr>
        <w:t>special</w:t>
      </w:r>
      <w:r>
        <w:rPr>
          <w:b/>
          <w:i w:val="0"/>
          <w:smallCaps w:val="0"/>
          <w:strike w:val="0"/>
          <w:sz w:val="22"/>
          <w:u w:val="single"/>
        </w:rPr>
        <w:t xml:space="preserve"> legal </w:t>
      </w:r>
      <w:r>
        <w:rPr>
          <w:b/>
          <w:i w:val="0"/>
          <w:smallCaps w:val="0"/>
          <w:strike w:val="0"/>
          <w:sz w:val="22"/>
          <w:highlight w:val="cyan"/>
          <w:u w:val="single"/>
        </w:rPr>
        <w:t>functions</w:t>
      </w:r>
      <w:r>
        <w:rPr>
          <w:b w:val="0"/>
          <w:i w:val="0"/>
          <w:smallCaps w:val="0"/>
          <w:strike w:val="0"/>
          <w:sz w:val="16"/>
          <w:u w:val="none"/>
        </w:rPr>
        <w:t xml:space="preserve">. Scientists in the first group of functions through which law in general, and tax law in particular, influence the public consciousness, forming values, creating a certain dimension of social interaction, in which possible, appropriate and forbidden find their clear delineation in human actions, include the following : humanistic, organizational / organizational-managerial, epistemological / cognitive, informational / communicative, educational, orienting, evaluative / evaluative, security, economic, political, cultural [17, p. 32, 33]. As for the special legal functions of law, they usually include regulatory and protective. However, in their system, the prominent, defining place of these sciences give a regulatory function. So it is no coincidence that OS Emelyanov argues, reflecting on the functions of financial law, as follows: "expressed financial law in the form of regulations or financial planning acts, implemented in absolute or relative legal relations, or seeks to determine the legal status of participants in financial relations - in all these forms social purpose - to regulate public relations in the field of public finance "[1, p. 32]. The scientist sees specific features of this function, first of all, in the establishment of positive rules of conduct, organization of social relations, coordination of social relationships in the process of redistribution of social wealth [1,  </w:t>
      </w:r>
    </w:p>
    <w:p>
      <w:pPr>
        <w:spacing w:after="60"/>
      </w:pPr>
      <w:r>
        <w:rPr>
          <w:b w:val="0"/>
          <w:i w:val="0"/>
          <w:smallCaps w:val="0"/>
          <w:strike w:val="0"/>
          <w:sz w:val="16"/>
          <w:u w:val="none"/>
        </w:rPr>
        <w:t xml:space="preserve">p. 33]. At the same time, it is obvious that the implementation of the regulatory function of law is influenced by a number of factors, among which tax policy is important. Therefore, the purpose of the article is to characterize the impact of tax policy on the implementation of the regulatory function of tax law. </w:t>
      </w:r>
    </w:p>
    <w:p>
      <w:pPr>
        <w:spacing w:after="60"/>
      </w:pPr>
      <w:r>
        <w:rPr>
          <w:b w:val="0"/>
          <w:i w:val="0"/>
          <w:smallCaps w:val="0"/>
          <w:strike w:val="0"/>
          <w:sz w:val="16"/>
          <w:u w:val="none"/>
        </w:rPr>
        <w:t xml:space="preserve">Analysis of recent research. Note that the question of the functions of tax law, tax policy and their interaction is not entirely new to the science of tax law, because to some extent resorted to their consideration OS Emelyanov, AA Kovalenko, MP Kucheryavenko, Yu. L. Smirnikov, VV Chaika and others. However, at present it cannot be said that they have received a proper scientific analysis, as the financial scientists did not resort to a comprehensive examination of them, but conducted fragmentary research. Thus, the purpose of the article is to consider the impact of tax policy on the implementation of the regulatory function of tax law. </w:t>
      </w:r>
    </w:p>
    <w:p>
      <w:pPr>
        <w:spacing w:after="60"/>
      </w:pPr>
      <w:r>
        <w:rPr>
          <w:b w:val="0"/>
          <w:i w:val="0"/>
          <w:smallCaps w:val="0"/>
          <w:strike w:val="0"/>
          <w:sz w:val="16"/>
          <w:u w:val="none"/>
        </w:rPr>
        <w:t xml:space="preserve">Presenting main material. In the scientific literature it is noted that the content of the regulatory function of law is revealed through the separation of two aspects: static (establishment of legal norms) and dynamic (implementation of legal norms). In this regard, TM Radko argues that the regulatory function of law includes two components: regulatory-static function or the function of consolidation, stabilization of social relations and regulatory-dynamic, through which the law determines the future behavior of people [16, p. 31]. Other scientists say the same. Thus, Yu. L. Smirnikov notes that the regulatory function of financial law includes regulatory static and regulatory-dynamic subfunctions. Delimitation between them is due to the manifestation of two patterns of development of law - reflection in law and legal anticipatory reflection. From these positions, the regulatory-static function of financial law is manifested in the ability of financial law to reflect the essential properties of financial relations and to organize public relations in a particular period, which is expressed in the content of financial law. The regulatory and dynamic function of financial law provides an opportunity to predict the need for financial and legal influence on public relations, their transformation through public financial activities to ensure the public interest, finding the most effective means of legal influence based on monitoring financial legislation and its impact on society no relationship [18, p. 24]. </w:t>
      </w:r>
    </w:p>
    <w:p>
      <w:pPr>
        <w:spacing w:after="60"/>
      </w:pPr>
      <w:r>
        <w:rPr>
          <w:b w:val="0"/>
          <w:i w:val="0"/>
          <w:smallCaps w:val="0"/>
          <w:strike w:val="0"/>
          <w:sz w:val="16"/>
          <w:u w:val="none"/>
        </w:rPr>
        <w:t xml:space="preserve">As we can see, scholars characterizing the regulatory function of law emphasize the establishment of legal norms and the way of detecting the activity of law, calling the first aspect dynamic, and the second - static. At the same time, in our opinion, it is not entirely correct to call the corresponding phenomenon static or dynamic. First, the establishment of the rules of tax law, I and any law, is not a static phenomenon. Second, tax relationships, like any legal relationship, are hardly static in nature, but rather dynamic. They do not exist in statics as such, but are constantly in a certain motion, when in the presence of certain circumstances they arise, change and cease. Therefore, such a characteristic of the regulatory function is hardly logical. </w:t>
      </w:r>
    </w:p>
    <w:p>
      <w:pPr>
        <w:spacing w:after="60"/>
      </w:pPr>
      <w:r>
        <w:rPr>
          <w:b w:val="0"/>
          <w:i w:val="0"/>
          <w:smallCaps w:val="0"/>
          <w:strike w:val="0"/>
          <w:sz w:val="16"/>
          <w:u w:val="none"/>
        </w:rPr>
        <w:t xml:space="preserve">However, there is no doubt that in any case, the tax law is able and intended precisely to regulate tax relations. "By enshrining in the sources of law the limits of the desired and permissible conduct for all subjects of law, grounds and types for the application of coercive measures to those of them that go beyond certain limits, the law (compared to other types of social norms) most effectively regulates social relations, giving them such features as organization, predictability, predictability, which ensures their stability and at the same time lays the foundation for development. This ultimately means awareness of its positive role for the individual, society, humanity in general [17, p. 32, 33]. </w:t>
      </w:r>
    </w:p>
    <w:p>
      <w:pPr>
        <w:spacing w:after="60"/>
      </w:pPr>
      <w:r>
        <w:rPr>
          <w:b w:val="0"/>
          <w:i w:val="0"/>
          <w:smallCaps w:val="0"/>
          <w:strike w:val="0"/>
          <w:sz w:val="16"/>
          <w:u w:val="none"/>
        </w:rPr>
        <w:t xml:space="preserve">The establishment of the norm of tax law is the most important kind of manifestation of the essence of tax law as a regulator of public relations. As VI Shcherbyna notes, the establishment of the rule of law is the definition of its content, the definition of real, adequate to social relations content of the rules of  law as a guarantee of the viability of law [20, p. 55]. At the same time, the effective implementation of the considered function is possible under the condition of logical, consistent formulation of the prescriptions of tax and legal norms, which will ensure their effective implementation. Therefore, it is important to properly determine the content of the tax law, which largely depends on the tax policy that is implemented in the state. State tax policy is defined differently by scholars. For example, the activity of the state in the field of establishment, legal regulation and organization of collection of taxes and tax payments to the centralized funds of state resources [5], or systemic activities of public authorities and local governments to create and improve an effective mechanism for taxation. legal regulation aimed at mobilizing funds to public centralized funds to finance public expenditures and tasks and functions of the state, as well as based on balancing public and private tax interest [19, p. 85]. The state's tax policy covers the content of ideological, theoretical and activity-practical aspects of state management of the processes of functioning, improvement and development of the tax system of Ukraine. As a phenomenon of ideological and theoretical plan, it is a system of conceptually conscious ideas, goals, objectives, principles, programs that express the official position of the state on key issues of tax regulation and is the ideological and theoretical basis of tax activity in the state (tax policy in statics) . At the same time, tax policy is the activity of state and non-state institutions, citizens, which consists in developing, adjusting and implementing state legal strategy (tactics) in the field of tax regulation, creating conditions that ensure the state of legal protection of tax law subjects (tax politics in dynamics) [19, p. 86]. It is characteristic that scientists consider tax legislation to be the main, but not the only form of tax policy implementation [3, p. 57; 19, p. 90]. </w:t>
      </w:r>
      <w:r>
        <w:rPr>
          <w:b/>
          <w:i w:val="0"/>
          <w:smallCaps w:val="0"/>
          <w:strike w:val="0"/>
          <w:sz w:val="22"/>
          <w:u w:val="single"/>
        </w:rPr>
        <w:t xml:space="preserve">Therefore, </w:t>
      </w:r>
      <w:r>
        <w:rPr>
          <w:b/>
          <w:i w:val="0"/>
          <w:smallCaps w:val="0"/>
          <w:strike w:val="0"/>
          <w:sz w:val="22"/>
          <w:u w:val="single"/>
        </w:rPr>
        <w:t xml:space="preserve">we can talk about </w:t>
      </w:r>
      <w:r>
        <w:rPr>
          <w:b/>
          <w:i w:val="0"/>
          <w:smallCaps w:val="0"/>
          <w:strike w:val="0"/>
          <w:sz w:val="22"/>
          <w:highlight w:val="cyan"/>
          <w:u w:val="single"/>
        </w:rPr>
        <w:t>the</w:t>
      </w:r>
      <w:r>
        <w:rPr>
          <w:b w:val="0"/>
          <w:i w:val="0"/>
          <w:smallCaps w:val="0"/>
          <w:strike w:val="0"/>
          <w:sz w:val="16"/>
          <w:u w:val="none"/>
        </w:rPr>
        <w:t xml:space="preserve"> corresponding </w:t>
      </w:r>
      <w:r>
        <w:rPr>
          <w:b/>
          <w:i w:val="0"/>
          <w:smallCaps w:val="0"/>
          <w:strike w:val="0"/>
          <w:sz w:val="22"/>
          <w:u w:val="single"/>
        </w:rPr>
        <w:t xml:space="preserve">dialectical </w:t>
      </w:r>
      <w:r>
        <w:rPr>
          <w:b/>
          <w:i w:val="0"/>
          <w:smallCaps w:val="0"/>
          <w:strike w:val="0"/>
          <w:sz w:val="22"/>
          <w:highlight w:val="cyan"/>
          <w:u w:val="single"/>
        </w:rPr>
        <w:t>dependence</w:t>
      </w:r>
      <w:r>
        <w:rPr>
          <w:b/>
          <w:i w:val="0"/>
          <w:smallCaps w:val="0"/>
          <w:strike w:val="0"/>
          <w:sz w:val="24"/>
          <w:highlight w:val="cyan"/>
          <w:u w:val="single"/>
        </w:rPr>
        <w:t xml:space="preserve"> </w:t>
      </w:r>
      <w:r>
        <w:rPr>
          <w:b/>
          <w:i w:val="0"/>
          <w:smallCaps w:val="0"/>
          <w:strike w:val="0"/>
          <w:sz w:val="22"/>
          <w:highlight w:val="cyan"/>
          <w:u w:val="single"/>
        </w:rPr>
        <w:t>of</w:t>
      </w:r>
      <w:r>
        <w:rPr>
          <w:b w:val="0"/>
          <w:i w:val="0"/>
          <w:smallCaps w:val="0"/>
          <w:strike w:val="0"/>
          <w:sz w:val="16"/>
          <w:u w:val="none"/>
        </w:rPr>
        <w:t xml:space="preserve"> tax and legal </w:t>
      </w:r>
      <w:r>
        <w:rPr>
          <w:b/>
          <w:i w:val="0"/>
          <w:smallCaps w:val="0"/>
          <w:strike w:val="0"/>
          <w:sz w:val="22"/>
          <w:highlight w:val="cyan"/>
          <w:u w:val="single"/>
        </w:rPr>
        <w:t>regulation</w:t>
      </w:r>
      <w:r>
        <w:rPr>
          <w:b/>
          <w:i w:val="0"/>
          <w:smallCaps w:val="0"/>
          <w:strike w:val="0"/>
          <w:sz w:val="22"/>
          <w:highlight w:val="cyan"/>
          <w:u w:val="single"/>
        </w:rPr>
        <w:t xml:space="preserve"> and </w:t>
      </w:r>
      <w:r>
        <w:rPr>
          <w:b/>
          <w:i w:val="0"/>
          <w:smallCaps w:val="0"/>
          <w:strike w:val="0"/>
          <w:sz w:val="22"/>
          <w:highlight w:val="cyan"/>
          <w:u w:val="single"/>
        </w:rPr>
        <w:t>tax policy</w:t>
      </w:r>
      <w:r>
        <w:rPr>
          <w:b/>
          <w:i w:val="0"/>
          <w:smallCaps w:val="0"/>
          <w:strike w:val="0"/>
          <w:sz w:val="22"/>
          <w:u w:val="single"/>
        </w:rPr>
        <w:t xml:space="preserve">. This </w:t>
      </w:r>
      <w:r>
        <w:rPr>
          <w:b/>
          <w:i w:val="0"/>
          <w:smallCaps w:val="0"/>
          <w:strike w:val="0"/>
          <w:sz w:val="22"/>
          <w:u w:val="single"/>
        </w:rPr>
        <w:t xml:space="preserve">is </w:t>
      </w:r>
      <w:r>
        <w:rPr>
          <w:b/>
          <w:i w:val="0"/>
          <w:smallCaps w:val="0"/>
          <w:strike w:val="0"/>
          <w:sz w:val="22"/>
          <w:highlight w:val="cyan"/>
          <w:u w:val="single"/>
        </w:rPr>
        <w:t>manifested in</w:t>
      </w:r>
      <w:r>
        <w:rPr>
          <w:b w:val="0"/>
          <w:i w:val="0"/>
          <w:smallCaps w:val="0"/>
          <w:strike w:val="0"/>
          <w:sz w:val="16"/>
          <w:u w:val="none"/>
        </w:rPr>
        <w:t xml:space="preserve"> two areas: (1) through the definition of </w:t>
      </w:r>
      <w:r>
        <w:rPr>
          <w:b/>
          <w:i w:val="0"/>
          <w:smallCaps w:val="0"/>
          <w:strike w:val="0"/>
          <w:sz w:val="22"/>
          <w:u w:val="single"/>
        </w:rPr>
        <w:t>the</w:t>
      </w:r>
      <w:r>
        <w:rPr>
          <w:b w:val="0"/>
          <w:i w:val="0"/>
          <w:smallCaps w:val="0"/>
          <w:strike w:val="0"/>
          <w:sz w:val="16"/>
          <w:u w:val="none"/>
        </w:rPr>
        <w:t xml:space="preserve"> purpose, objectives, </w:t>
      </w:r>
      <w:r>
        <w:rPr>
          <w:b/>
          <w:i w:val="0"/>
          <w:smallCaps w:val="0"/>
          <w:strike w:val="0"/>
          <w:sz w:val="22"/>
          <w:u w:val="single"/>
        </w:rPr>
        <w:t>results</w:t>
      </w:r>
      <w:r>
        <w:rPr>
          <w:b/>
          <w:i w:val="0"/>
          <w:smallCaps w:val="0"/>
          <w:strike w:val="0"/>
          <w:sz w:val="22"/>
          <w:u w:val="single"/>
        </w:rPr>
        <w:t xml:space="preserve"> of tax policy</w:t>
      </w:r>
      <w:r>
        <w:rPr>
          <w:b w:val="0"/>
          <w:i w:val="0"/>
          <w:smallCaps w:val="0"/>
          <w:strike w:val="0"/>
          <w:sz w:val="16"/>
          <w:u w:val="none"/>
        </w:rPr>
        <w:t xml:space="preserve"> outlines the </w:t>
      </w:r>
      <w:r>
        <w:rPr>
          <w:b/>
          <w:i w:val="0"/>
          <w:smallCaps w:val="0"/>
          <w:strike w:val="0"/>
          <w:sz w:val="22"/>
          <w:u w:val="single"/>
        </w:rPr>
        <w:t>direction</w:t>
      </w:r>
      <w:r>
        <w:rPr>
          <w:b/>
          <w:i w:val="0"/>
          <w:smallCaps w:val="0"/>
          <w:strike w:val="0"/>
          <w:sz w:val="22"/>
          <w:u w:val="single"/>
        </w:rPr>
        <w:t xml:space="preserve"> of </w:t>
      </w:r>
      <w:r>
        <w:rPr>
          <w:b/>
          <w:i w:val="0"/>
          <w:smallCaps w:val="0"/>
          <w:strike w:val="0"/>
          <w:sz w:val="22"/>
          <w:highlight w:val="cyan"/>
          <w:u w:val="single"/>
        </w:rPr>
        <w:t>regulation</w:t>
      </w:r>
      <w:r>
        <w:rPr>
          <w:b/>
          <w:i w:val="0"/>
          <w:smallCaps w:val="0"/>
          <w:strike w:val="0"/>
          <w:sz w:val="22"/>
          <w:u w:val="single"/>
        </w:rPr>
        <w:t xml:space="preserve"> of tax relations, its subject</w:t>
      </w:r>
      <w:r>
        <w:rPr>
          <w:b/>
          <w:i w:val="0"/>
          <w:smallCaps w:val="0"/>
          <w:strike w:val="0"/>
          <w:sz w:val="22"/>
          <w:u w:val="single"/>
        </w:rPr>
        <w:t xml:space="preserve">, limits </w:t>
      </w:r>
      <w:r>
        <w:rPr>
          <w:b/>
          <w:i w:val="0"/>
          <w:smallCaps w:val="0"/>
          <w:strike w:val="0"/>
          <w:sz w:val="22"/>
          <w:u w:val="single"/>
        </w:rPr>
        <w:t xml:space="preserve">and </w:t>
      </w:r>
      <w:r>
        <w:rPr>
          <w:b/>
          <w:i w:val="0"/>
          <w:smallCaps w:val="0"/>
          <w:strike w:val="0"/>
          <w:sz w:val="22"/>
          <w:highlight w:val="cyan"/>
          <w:u w:val="single"/>
        </w:rPr>
        <w:t>methods</w:t>
      </w:r>
      <w:r>
        <w:rPr>
          <w:b w:val="0"/>
          <w:i w:val="0"/>
          <w:smallCaps w:val="0"/>
          <w:strike w:val="0"/>
          <w:sz w:val="16"/>
          <w:u w:val="none"/>
        </w:rPr>
        <w:t xml:space="preserve">, which establishes rules of conduct for taxpayers, ie the impact on lawmaking activities in the field of taxation, implementation of the regulatory function of tax law; </w:t>
      </w:r>
      <w:r>
        <w:rPr>
          <w:b/>
          <w:i w:val="0"/>
          <w:smallCaps w:val="0"/>
          <w:strike w:val="0"/>
          <w:sz w:val="22"/>
          <w:u w:val="single"/>
        </w:rPr>
        <w:t>(</w:t>
      </w:r>
      <w:r>
        <w:rPr>
          <w:b/>
          <w:i w:val="0"/>
          <w:smallCaps w:val="0"/>
          <w:strike w:val="0"/>
          <w:sz w:val="22"/>
          <w:u w:val="single"/>
        </w:rPr>
        <w:t xml:space="preserve">2) by </w:t>
      </w:r>
      <w:r>
        <w:rPr>
          <w:b/>
          <w:i w:val="0"/>
          <w:smallCaps w:val="0"/>
          <w:strike w:val="0"/>
          <w:sz w:val="22"/>
          <w:highlight w:val="cyan"/>
          <w:u w:val="single"/>
        </w:rPr>
        <w:t>determining</w:t>
      </w:r>
      <w:r>
        <w:rPr>
          <w:b/>
          <w:i w:val="0"/>
          <w:smallCaps w:val="0"/>
          <w:strike w:val="0"/>
          <w:sz w:val="22"/>
          <w:highlight w:val="cyan"/>
          <w:u w:val="single"/>
        </w:rPr>
        <w:t xml:space="preserve"> the</w:t>
      </w:r>
      <w:r>
        <w:rPr>
          <w:b w:val="0"/>
          <w:i w:val="0"/>
          <w:smallCaps w:val="0"/>
          <w:strike w:val="0"/>
          <w:sz w:val="16"/>
          <w:u w:val="none"/>
        </w:rPr>
        <w:t xml:space="preserve"> quality, </w:t>
      </w:r>
      <w:r>
        <w:rPr>
          <w:b/>
          <w:i w:val="0"/>
          <w:smallCaps w:val="0"/>
          <w:strike w:val="0"/>
          <w:sz w:val="22"/>
          <w:highlight w:val="cyan"/>
          <w:u w:val="single"/>
        </w:rPr>
        <w:t>effectiveness</w:t>
      </w:r>
      <w:r>
        <w:rPr>
          <w:b/>
          <w:i w:val="0"/>
          <w:smallCaps w:val="0"/>
          <w:strike w:val="0"/>
          <w:sz w:val="22"/>
          <w:highlight w:val="cyan"/>
          <w:u w:val="single"/>
        </w:rPr>
        <w:t xml:space="preserve"> of tax legislation</w:t>
      </w:r>
      <w:r>
        <w:rPr>
          <w:b w:val="0"/>
          <w:i w:val="0"/>
          <w:smallCaps w:val="0"/>
          <w:strike w:val="0"/>
          <w:sz w:val="16"/>
          <w:u w:val="none"/>
        </w:rPr>
        <w:t xml:space="preserve">, assesses </w:t>
      </w:r>
      <w:r>
        <w:rPr>
          <w:b/>
          <w:i w:val="0"/>
          <w:smallCaps w:val="0"/>
          <w:strike w:val="0"/>
          <w:sz w:val="22"/>
          <w:u w:val="single"/>
        </w:rPr>
        <w:t xml:space="preserve">whether the tax policy has been </w:t>
      </w:r>
      <w:r>
        <w:rPr>
          <w:b/>
          <w:i w:val="0"/>
          <w:smallCaps w:val="0"/>
          <w:strike w:val="0"/>
          <w:sz w:val="22"/>
          <w:u w:val="single"/>
        </w:rPr>
        <w:t>fully implemented</w:t>
      </w:r>
      <w:r>
        <w:rPr>
          <w:b w:val="0"/>
          <w:i w:val="0"/>
          <w:smallCaps w:val="0"/>
          <w:strike w:val="0"/>
          <w:sz w:val="16"/>
          <w:u w:val="none"/>
        </w:rPr>
        <w:t xml:space="preserve">. This approach allows us to see deviations from the desired model of the tax system; establish the level of implementation of those provisions that you know strategically; identify shortcomings in both tax law and tax policy in general; to develop new approaches to ensuring the sustainable and efficient functioning of the state tax system. </w:t>
      </w:r>
    </w:p>
    <w:p>
      <w:pPr>
        <w:spacing w:after="60"/>
      </w:pPr>
      <w:r>
        <w:rPr>
          <w:b w:val="0"/>
          <w:i w:val="0"/>
          <w:smallCaps w:val="0"/>
          <w:strike w:val="0"/>
          <w:sz w:val="16"/>
          <w:u w:val="none"/>
        </w:rPr>
        <w:t xml:space="preserve">Ensuring the formation and implementation of a unified state tax policy in our country is entrusted to the Ministry of Finance of Ukraine (paragraph 1 of the Regulation on the Ministry of Finance of Ukraine, approved by the Cabinet of Ministers of Ukraine dated August 20, 2014 № 375 [12]), as well as State Tax Service of Ukraine (paragraph 1 of the Regulation on the State Tax Service of Ukraine, approved by the resolution of the Cabinet of Ministers of Ukraine of March 6, 2019 № 227 [13]). The main tasks and directions of tax policy are defined in the Strategy for Reforming the Public Financial Management System for 2017-2020, which was approved by the order of the Cabinet of Ministers of Ukraine of February 8. 2017 № 142-r, which include: improving the quality and efficiency of administration of taxes and fees and the level of compliance with tax legislation; strengthening control over fiscal risks and implementing measures to minimize them, in particular with regard to state-owned enterprises, state guarantees and other contingent debt obligations, etc. [15]. </w:t>
      </w:r>
    </w:p>
    <w:p>
      <w:pPr>
        <w:spacing w:after="60"/>
      </w:pPr>
      <w:r>
        <w:rPr>
          <w:b w:val="0"/>
          <w:i w:val="0"/>
          <w:smallCaps w:val="0"/>
          <w:strike w:val="0"/>
          <w:sz w:val="16"/>
          <w:u w:val="none"/>
        </w:rPr>
        <w:t xml:space="preserve">Scholars rightly point out that the main contradiction of tax policy is to find a compromise between economic efficiency and social justice, the content of which long before the clear mathematical proofs of modern optimal taxation theory was formulated in the well-known aphorism of Jean-Baptiste Colbert: "Taxation goose so as to obtain the maximum number of feathers with a minimum of hissing. In modern scientific discourse, this contradiction should answer the question: what exactly should be formed tax system in terms of its composition of different taxes and elements of each individual tax, so that it provides funding for social needs and is the least harmful to economic growth [4, with. 7]. And in this context there are many problems, because on the agenda there are a number of issues, both regarding the establishment of a set of taxes and fees, their specific legal mechanisms, and control over the collection of taxes and fees, the powers of the tax administration and meetings, etc. </w:t>
      </w:r>
    </w:p>
    <w:p>
      <w:pPr>
        <w:spacing w:after="60"/>
      </w:pPr>
      <w:r>
        <w:rPr>
          <w:b/>
          <w:i w:val="0"/>
          <w:smallCaps w:val="0"/>
          <w:strike w:val="0"/>
          <w:sz w:val="22"/>
          <w:highlight w:val="cyan"/>
          <w:u w:val="single"/>
        </w:rPr>
        <w:t>For example</w:t>
      </w:r>
      <w:r>
        <w:rPr>
          <w:b/>
          <w:i w:val="0"/>
          <w:smallCaps w:val="0"/>
          <w:strike w:val="0"/>
          <w:sz w:val="22"/>
          <w:u w:val="single"/>
        </w:rPr>
        <w:t>, let's look at a few aspects</w:t>
      </w:r>
      <w:r>
        <w:rPr>
          <w:b w:val="0"/>
          <w:i w:val="0"/>
          <w:smallCaps w:val="0"/>
          <w:strike w:val="0"/>
          <w:sz w:val="16"/>
          <w:u w:val="none"/>
        </w:rPr>
        <w:t xml:space="preserve">. Thus, one of the tasks in the Strategy for Reforming the Public Financial Management System for 2017–2020 is to increase the stability and predictability of the tax system. It is further noted that the Ministry of Finance will develop a Strategy for the development of the tax system in the medium term, which should be consistent with the strategy of economic development, reform of the budget process and the pension system. The control over the observance of the requirement to provide compensators of tax revenues or reduction of state budget expenditures in case of reduction of such revenues due to amendments to the tax legislation will be strengthened, as well as to ensure that changes to any elements of taxes and fees are not made later than six months before the start of the new budget period [15]. </w:t>
      </w:r>
      <w:r>
        <w:rPr>
          <w:b w:val="0"/>
          <w:i w:val="0"/>
          <w:smallCaps w:val="0"/>
          <w:strike w:val="0"/>
          <w:sz w:val="16"/>
          <w:u w:val="none"/>
        </w:rPr>
        <w:t xml:space="preserve">Taking into account the outlined direction of tax policy, </w:t>
      </w:r>
      <w:r>
        <w:rPr>
          <w:b/>
          <w:i w:val="0"/>
          <w:smallCaps w:val="0"/>
          <w:strike w:val="0"/>
          <w:sz w:val="22"/>
          <w:u w:val="single"/>
        </w:rPr>
        <w:t xml:space="preserve">this </w:t>
      </w:r>
      <w:r>
        <w:rPr>
          <w:b/>
          <w:i w:val="0"/>
          <w:smallCaps w:val="0"/>
          <w:strike w:val="0"/>
          <w:sz w:val="22"/>
          <w:highlight w:val="cyan"/>
          <w:u w:val="single"/>
        </w:rPr>
        <w:t>task should be</w:t>
      </w:r>
      <w:r>
        <w:rPr>
          <w:b/>
          <w:i w:val="0"/>
          <w:smallCaps w:val="0"/>
          <w:strike w:val="0"/>
          <w:sz w:val="22"/>
          <w:u w:val="single"/>
        </w:rPr>
        <w:t xml:space="preserve"> implemented in </w:t>
      </w:r>
      <w:r>
        <w:rPr>
          <w:b/>
          <w:i w:val="0"/>
          <w:smallCaps w:val="0"/>
          <w:strike w:val="0"/>
          <w:sz w:val="22"/>
          <w:highlight w:val="cyan"/>
          <w:u w:val="single"/>
        </w:rPr>
        <w:t xml:space="preserve">tax </w:t>
      </w:r>
      <w:r>
        <w:rPr>
          <w:b/>
          <w:i w:val="0"/>
          <w:smallCaps w:val="0"/>
          <w:strike w:val="0"/>
          <w:sz w:val="22"/>
          <w:highlight w:val="cyan"/>
          <w:u w:val="single"/>
        </w:rPr>
        <w:t>and</w:t>
      </w:r>
      <w:r>
        <w:rPr>
          <w:b/>
          <w:i w:val="0"/>
          <w:smallCaps w:val="0"/>
          <w:strike w:val="0"/>
          <w:sz w:val="22"/>
          <w:highlight w:val="cyan"/>
          <w:u w:val="single"/>
        </w:rPr>
        <w:t xml:space="preserve"> legal regulation. </w:t>
      </w:r>
      <w:r>
        <w:rPr>
          <w:b/>
          <w:i w:val="0"/>
          <w:smallCaps w:val="0"/>
          <w:strike w:val="0"/>
          <w:sz w:val="22"/>
          <w:highlight w:val="cyan"/>
          <w:u w:val="single"/>
        </w:rPr>
        <w:t>However</w:t>
      </w:r>
      <w:r>
        <w:rPr>
          <w:b/>
          <w:i w:val="0"/>
          <w:smallCaps w:val="0"/>
          <w:strike w:val="0"/>
          <w:sz w:val="22"/>
          <w:highlight w:val="cyan"/>
          <w:u w:val="single"/>
        </w:rPr>
        <w:t xml:space="preserve">, did it </w:t>
      </w:r>
      <w:r>
        <w:rPr>
          <w:b/>
          <w:i w:val="0"/>
          <w:smallCaps w:val="0"/>
          <w:strike w:val="0"/>
          <w:sz w:val="22"/>
          <w:highlight w:val="cyan"/>
          <w:u w:val="single"/>
        </w:rPr>
        <w:t>really happen</w:t>
      </w:r>
      <w:r>
        <w:rPr>
          <w:b/>
          <w:i w:val="0"/>
          <w:smallCaps w:val="0"/>
          <w:strike w:val="0"/>
          <w:sz w:val="22"/>
          <w:highlight w:val="cyan"/>
          <w:u w:val="single"/>
        </w:rPr>
        <w:t xml:space="preserve">? The answer is </w:t>
      </w:r>
      <w:r>
        <w:rPr>
          <w:b/>
          <w:i w:val="0"/>
          <w:smallCaps w:val="0"/>
          <w:strike w:val="0"/>
          <w:sz w:val="22"/>
          <w:highlight w:val="cyan"/>
          <w:u w:val="single"/>
        </w:rPr>
        <w:t>obvious</w:t>
      </w:r>
      <w:r>
        <w:rPr>
          <w:b w:val="0"/>
          <w:i w:val="0"/>
          <w:smallCaps w:val="0"/>
          <w:strike w:val="0"/>
          <w:sz w:val="16"/>
          <w:u w:val="none"/>
        </w:rPr>
        <w:t xml:space="preserve">, as at the end of 2020 the Strategy for </w:t>
      </w:r>
      <w:r>
        <w:rPr>
          <w:b/>
          <w:i w:val="0"/>
          <w:smallCaps w:val="0"/>
          <w:strike w:val="0"/>
          <w:sz w:val="22"/>
          <w:u w:val="single"/>
        </w:rPr>
        <w:t xml:space="preserve">the </w:t>
      </w:r>
      <w:r>
        <w:rPr>
          <w:b/>
          <w:i w:val="0"/>
          <w:smallCaps w:val="0"/>
          <w:strike w:val="0"/>
          <w:sz w:val="22"/>
          <w:u w:val="single"/>
        </w:rPr>
        <w:t>development of</w:t>
      </w:r>
      <w:r>
        <w:rPr>
          <w:b/>
          <w:i w:val="0"/>
          <w:smallCaps w:val="0"/>
          <w:strike w:val="0"/>
          <w:sz w:val="22"/>
          <w:u w:val="single"/>
        </w:rPr>
        <w:t xml:space="preserve"> the </w:t>
      </w:r>
      <w:r>
        <w:rPr>
          <w:b/>
          <w:i w:val="0"/>
          <w:smallCaps w:val="0"/>
          <w:strike w:val="0"/>
          <w:sz w:val="22"/>
          <w:highlight w:val="cyan"/>
          <w:u w:val="single"/>
        </w:rPr>
        <w:t>tax</w:t>
      </w:r>
      <w:r>
        <w:rPr>
          <w:b/>
          <w:i w:val="0"/>
          <w:smallCaps w:val="0"/>
          <w:strike w:val="0"/>
          <w:sz w:val="22"/>
          <w:u w:val="single"/>
        </w:rPr>
        <w:t xml:space="preserve"> system</w:t>
      </w:r>
      <w:r>
        <w:rPr>
          <w:b w:val="0"/>
          <w:i w:val="0"/>
          <w:smallCaps w:val="0"/>
          <w:strike w:val="0"/>
          <w:sz w:val="16"/>
          <w:u w:val="none"/>
        </w:rPr>
        <w:t xml:space="preserve"> in the medium term </w:t>
      </w:r>
      <w:r>
        <w:rPr>
          <w:b/>
          <w:i w:val="0"/>
          <w:smallCaps w:val="0"/>
          <w:strike w:val="0"/>
          <w:sz w:val="22"/>
          <w:highlight w:val="cyan"/>
          <w:u w:val="single"/>
        </w:rPr>
        <w:t xml:space="preserve">has </w:t>
      </w:r>
      <w:r>
        <w:rPr>
          <w:b/>
          <w:i w:val="0"/>
          <w:smallCaps w:val="0"/>
          <w:strike w:val="0"/>
          <w:sz w:val="22"/>
          <w:highlight w:val="cyan"/>
          <w:u w:val="single"/>
        </w:rPr>
        <w:t>not</w:t>
      </w:r>
      <w:r>
        <w:rPr>
          <w:b/>
          <w:i w:val="0"/>
          <w:smallCaps w:val="0"/>
          <w:strike w:val="0"/>
          <w:sz w:val="22"/>
          <w:u w:val="single"/>
        </w:rPr>
        <w:t xml:space="preserve"> been </w:t>
      </w:r>
      <w:r>
        <w:rPr>
          <w:b/>
          <w:i w:val="0"/>
          <w:smallCaps w:val="0"/>
          <w:strike w:val="0"/>
          <w:sz w:val="22"/>
          <w:highlight w:val="cyan"/>
          <w:u w:val="single"/>
        </w:rPr>
        <w:t>developed</w:t>
      </w:r>
      <w:r>
        <w:rPr>
          <w:b/>
          <w:i w:val="0"/>
          <w:smallCaps w:val="0"/>
          <w:strike w:val="0"/>
          <w:sz w:val="22"/>
          <w:u w:val="single"/>
        </w:rPr>
        <w:t xml:space="preserve"> and approved</w:t>
      </w:r>
      <w:r>
        <w:rPr>
          <w:b w:val="0"/>
          <w:i w:val="0"/>
          <w:smallCaps w:val="0"/>
          <w:strike w:val="0"/>
          <w:sz w:val="16"/>
          <w:u w:val="none"/>
        </w:rPr>
        <w:t>. However, the report on the implementation of the action plan for the implementation of the Strategy for reforming the public financial management system for 2017–2020, approved by the order of the Cabinet of Ministers of Ukraine dated 24.05.2017 № 415-r, states that this aspect has been implemented [2]. The development of the mission and strategic goals of the State Tax Service until 2022, which was approved on December 10, can be attributed to the fulfillment of this task with a certain conditionality. 2019 by order № 205 of the State Tax Service of Ukraine [11]. However, as you can see, these are all such different regulations</w:t>
      </w:r>
      <w:r>
        <w:rPr>
          <w:b w:val="0"/>
          <w:i w:val="0"/>
          <w:smallCaps w:val="0"/>
          <w:strike w:val="0"/>
          <w:sz w:val="16"/>
          <w:u w:val="none"/>
        </w:rPr>
        <w:t xml:space="preserve">. </w:t>
      </w:r>
      <w:r>
        <w:rPr>
          <w:b/>
          <w:i w:val="0"/>
          <w:smallCaps w:val="0"/>
          <w:strike w:val="0"/>
          <w:sz w:val="22"/>
          <w:highlight w:val="cyan"/>
          <w:u w:val="single"/>
        </w:rPr>
        <w:t xml:space="preserve">As a result, we get </w:t>
      </w:r>
      <w:r>
        <w:rPr>
          <w:b/>
          <w:i w:val="0"/>
          <w:smallCaps w:val="0"/>
          <w:strike w:val="0"/>
          <w:sz w:val="22"/>
          <w:highlight w:val="cyan"/>
          <w:u w:val="single"/>
        </w:rPr>
        <w:t>unsystematic</w:t>
      </w:r>
      <w:r>
        <w:rPr>
          <w:b/>
          <w:i w:val="0"/>
          <w:smallCaps w:val="0"/>
          <w:strike w:val="0"/>
          <w:sz w:val="22"/>
          <w:u w:val="single"/>
        </w:rPr>
        <w:t xml:space="preserve">, frequent </w:t>
      </w:r>
      <w:r>
        <w:rPr>
          <w:b/>
          <w:i w:val="0"/>
          <w:smallCaps w:val="0"/>
          <w:strike w:val="0"/>
          <w:sz w:val="22"/>
          <w:highlight w:val="cyan"/>
          <w:u w:val="single"/>
        </w:rPr>
        <w:t>changes</w:t>
      </w:r>
      <w:r>
        <w:rPr>
          <w:b/>
          <w:i w:val="0"/>
          <w:smallCaps w:val="0"/>
          <w:strike w:val="0"/>
          <w:sz w:val="22"/>
          <w:u w:val="single"/>
        </w:rPr>
        <w:t xml:space="preserve"> in tax legislation, because it is unlikely that </w:t>
      </w:r>
      <w:r>
        <w:rPr>
          <w:b/>
          <w:i w:val="0"/>
          <w:smallCaps w:val="0"/>
          <w:strike w:val="0"/>
          <w:sz w:val="22"/>
          <w:highlight w:val="cyan"/>
          <w:u w:val="single"/>
        </w:rPr>
        <w:t>a</w:t>
      </w:r>
      <w:r>
        <w:rPr>
          <w:b/>
          <w:i w:val="0"/>
          <w:smallCaps w:val="0"/>
          <w:strike w:val="0"/>
          <w:sz w:val="22"/>
          <w:u w:val="single"/>
        </w:rPr>
        <w:t xml:space="preserve"> logical </w:t>
      </w:r>
      <w:r>
        <w:rPr>
          <w:b/>
          <w:i w:val="0"/>
          <w:smallCaps w:val="0"/>
          <w:strike w:val="0"/>
          <w:sz w:val="22"/>
          <w:highlight w:val="cyan"/>
          <w:u w:val="single"/>
        </w:rPr>
        <w:t>transformation</w:t>
      </w:r>
      <w:r>
        <w:rPr>
          <w:b/>
          <w:i w:val="0"/>
          <w:smallCaps w:val="0"/>
          <w:strike w:val="0"/>
          <w:sz w:val="22"/>
          <w:highlight w:val="cyan"/>
          <w:u w:val="single"/>
        </w:rPr>
        <w:t xml:space="preserve"> of tax</w:t>
      </w:r>
      <w:r>
        <w:rPr>
          <w:b/>
          <w:i w:val="0"/>
          <w:smallCaps w:val="0"/>
          <w:strike w:val="0"/>
          <w:sz w:val="22"/>
          <w:u w:val="single"/>
        </w:rPr>
        <w:t xml:space="preserve"> legislation</w:t>
      </w:r>
      <w:r>
        <w:rPr>
          <w:b w:val="0"/>
          <w:i w:val="0"/>
          <w:smallCaps w:val="0"/>
          <w:strike w:val="0"/>
          <w:sz w:val="16"/>
          <w:u w:val="none"/>
        </w:rPr>
        <w:t xml:space="preserve"> can be achieved </w:t>
      </w:r>
      <w:r>
        <w:rPr>
          <w:b/>
          <w:i w:val="0"/>
          <w:smallCaps w:val="0"/>
          <w:strike w:val="0"/>
          <w:sz w:val="22"/>
          <w:highlight w:val="cyan"/>
          <w:u w:val="single"/>
        </w:rPr>
        <w:t>without</w:t>
      </w:r>
      <w:r>
        <w:rPr>
          <w:b/>
          <w:i w:val="0"/>
          <w:smallCaps w:val="0"/>
          <w:strike w:val="0"/>
          <w:sz w:val="22"/>
          <w:u w:val="single"/>
        </w:rPr>
        <w:t xml:space="preserve"> a </w:t>
      </w:r>
      <w:r>
        <w:rPr>
          <w:b/>
          <w:i w:val="0"/>
          <w:smallCaps w:val="0"/>
          <w:strike w:val="0"/>
          <w:sz w:val="22"/>
          <w:highlight w:val="cyan"/>
          <w:u w:val="single"/>
        </w:rPr>
        <w:t>clear strategy</w:t>
      </w:r>
      <w:r>
        <w:rPr>
          <w:b/>
          <w:i w:val="0"/>
          <w:smallCaps w:val="0"/>
          <w:strike w:val="0"/>
          <w:sz w:val="22"/>
          <w:highlight w:val="cyan"/>
          <w:u w:val="single"/>
        </w:rPr>
        <w:t>, which indicates the</w:t>
      </w:r>
      <w:r>
        <w:rPr>
          <w:b/>
          <w:i w:val="0"/>
          <w:smallCaps w:val="0"/>
          <w:strike w:val="0"/>
          <w:sz w:val="22"/>
          <w:u w:val="single"/>
        </w:rPr>
        <w:t xml:space="preserve"> state's </w:t>
      </w:r>
      <w:r>
        <w:rPr>
          <w:b/>
          <w:i w:val="0"/>
          <w:smallCaps w:val="0"/>
          <w:strike w:val="0"/>
          <w:sz w:val="22"/>
          <w:highlight w:val="cyan"/>
          <w:u w:val="single"/>
        </w:rPr>
        <w:t>chosen course</w:t>
      </w:r>
      <w:r>
        <w:rPr>
          <w:b/>
          <w:i w:val="0"/>
          <w:smallCaps w:val="0"/>
          <w:strike w:val="0"/>
          <w:sz w:val="24"/>
          <w:u w:val="single"/>
        </w:rPr>
        <w:t xml:space="preserve"> </w:t>
      </w:r>
      <w:r>
        <w:rPr>
          <w:b/>
          <w:i w:val="0"/>
          <w:smallCaps w:val="0"/>
          <w:strike w:val="0"/>
          <w:sz w:val="22"/>
          <w:u w:val="single"/>
        </w:rPr>
        <w:t>for the future</w:t>
      </w:r>
      <w:r>
        <w:rPr>
          <w:b w:val="0"/>
          <w:i w:val="0"/>
          <w:smallCaps w:val="0"/>
          <w:strike w:val="0"/>
          <w:sz w:val="16"/>
          <w:u w:val="none"/>
        </w:rPr>
        <w:t xml:space="preserve">, aimed at solving tax issues. Therefore, the implementation of tax policy in this context </w:t>
      </w:r>
      <w:r>
        <w:rPr>
          <w:b/>
          <w:i w:val="0"/>
          <w:smallCaps w:val="0"/>
          <w:strike w:val="0"/>
          <w:sz w:val="22"/>
          <w:highlight w:val="cyan"/>
          <w:u w:val="single"/>
        </w:rPr>
        <w:t xml:space="preserve">has a </w:t>
      </w:r>
      <w:r>
        <w:rPr>
          <w:b/>
          <w:i w:val="0"/>
          <w:smallCaps w:val="0"/>
          <w:strike w:val="0"/>
          <w:sz w:val="22"/>
          <w:highlight w:val="cyan"/>
          <w:u w:val="single"/>
        </w:rPr>
        <w:t>negative impact</w:t>
      </w:r>
      <w:r>
        <w:rPr>
          <w:b/>
          <w:i w:val="0"/>
          <w:smallCaps w:val="0"/>
          <w:strike w:val="0"/>
          <w:sz w:val="22"/>
          <w:highlight w:val="cyan"/>
          <w:u w:val="single"/>
        </w:rPr>
        <w:t xml:space="preserve"> on</w:t>
      </w:r>
      <w:r>
        <w:rPr>
          <w:b w:val="0"/>
          <w:i w:val="0"/>
          <w:smallCaps w:val="0"/>
          <w:strike w:val="0"/>
          <w:sz w:val="16"/>
          <w:u w:val="none"/>
        </w:rPr>
        <w:t xml:space="preserve"> the implementation of </w:t>
      </w:r>
      <w:r>
        <w:rPr>
          <w:b/>
          <w:i w:val="0"/>
          <w:smallCaps w:val="0"/>
          <w:strike w:val="0"/>
          <w:sz w:val="22"/>
          <w:highlight w:val="cyan"/>
          <w:u w:val="single"/>
        </w:rPr>
        <w:t xml:space="preserve">the </w:t>
      </w:r>
      <w:r>
        <w:rPr>
          <w:b/>
          <w:i w:val="0"/>
          <w:smallCaps w:val="0"/>
          <w:strike w:val="0"/>
          <w:sz w:val="22"/>
          <w:highlight w:val="cyan"/>
          <w:u w:val="single"/>
        </w:rPr>
        <w:t>regulatory function</w:t>
      </w:r>
      <w:r>
        <w:rPr>
          <w:b/>
          <w:i w:val="0"/>
          <w:smallCaps w:val="0"/>
          <w:strike w:val="0"/>
          <w:sz w:val="22"/>
          <w:u w:val="single"/>
        </w:rPr>
        <w:t xml:space="preserve"> of tax law</w:t>
      </w:r>
      <w:r>
        <w:rPr>
          <w:b w:val="0"/>
          <w:i w:val="0"/>
          <w:smallCaps w:val="0"/>
          <w:strike w:val="0"/>
          <w:sz w:val="16"/>
          <w:u w:val="none"/>
        </w:rPr>
        <w:t xml:space="preserve">. </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