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Tax law is </w:t>
      </w:r>
      <w:r>
        <w:rPr>
          <w:b/>
          <w:i w:val="0"/>
          <w:smallCaps w:val="0"/>
          <w:strike w:val="0"/>
          <w:sz w:val="26"/>
          <w:u w:val="single"/>
        </w:rPr>
        <w:t>housed</w:t>
      </w:r>
      <w:r>
        <w:rPr>
          <w:b/>
          <w:i w:val="0"/>
          <w:smallCaps w:val="0"/>
          <w:strike w:val="0"/>
          <w:sz w:val="26"/>
          <w:u w:val="none"/>
        </w:rPr>
        <w:t xml:space="preserve"> in the </w:t>
      </w:r>
      <w:r>
        <w:rPr>
          <w:b/>
          <w:i w:val="0"/>
          <w:smallCaps w:val="0"/>
          <w:strike w:val="0"/>
          <w:sz w:val="26"/>
          <w:u w:val="single"/>
        </w:rPr>
        <w:t>internal revenue code</w:t>
      </w:r>
      <w:r>
        <w:rPr>
          <w:b/>
          <w:i w:val="0"/>
          <w:smallCaps w:val="0"/>
          <w:strike w:val="0"/>
          <w:sz w:val="26"/>
          <w:u w:val="none"/>
        </w:rPr>
        <w:t xml:space="preserve"> AND implemented by the </w:t>
      </w:r>
      <w:r>
        <w:rPr>
          <w:b/>
          <w:i w:val="0"/>
          <w:smallCaps w:val="0"/>
          <w:strike w:val="0"/>
          <w:sz w:val="26"/>
          <w:u w:val="single"/>
        </w:rPr>
        <w:t>IRS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LII ’23</w:t>
      </w:r>
      <w:r>
        <w:rPr>
          <w:b w:val="0"/>
          <w:i w:val="0"/>
          <w:smallCaps w:val="0"/>
          <w:strike w:val="0"/>
          <w:u w:val="none"/>
        </w:rPr>
        <w:t xml:space="preserve"> [Legal Information Institute; April; Cornell University School of Law, “Internal Revenue Code (IRC),” </w:t>
      </w:r>
      <w:r>
        <w:rPr>
          <w:b w:val="0"/>
          <w:i w:val="0"/>
          <w:smallCaps w:val="0"/>
          <w:strike w:val="0"/>
          <w:u w:val="none"/>
        </w:rPr>
        <w:t>] pbk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nternal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evenue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ode (IRC) </w:t>
      </w:r>
      <w:r>
        <w:rPr>
          <w:b/>
          <w:i w:val="0"/>
          <w:smallCaps w:val="0"/>
          <w:strike w:val="0"/>
          <w:sz w:val="22"/>
          <w:u w:val="single"/>
        </w:rPr>
        <w:t xml:space="preserve">is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domestic portion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/>
          <w:i w:val="0"/>
          <w:smallCaps w:val="0"/>
          <w:strike w:val="0"/>
          <w:sz w:val="22"/>
          <w:u w:val="single"/>
        </w:rPr>
        <w:t xml:space="preserve"> federal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statutory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tax law</w:t>
      </w:r>
      <w:r>
        <w:rPr>
          <w:b/>
          <w:i w:val="0"/>
          <w:smallCaps w:val="0"/>
          <w:strike w:val="0"/>
          <w:sz w:val="22"/>
          <w:u w:val="single"/>
        </w:rPr>
        <w:t xml:space="preserve"> in the </w:t>
      </w:r>
      <w:r>
        <w:rPr>
          <w:b/>
          <w:i w:val="0"/>
          <w:smallCaps w:val="0"/>
          <w:strike w:val="0"/>
          <w:sz w:val="22"/>
          <w:u w:val="single"/>
        </w:rPr>
        <w:t>United States</w:t>
      </w:r>
      <w:r>
        <w:rPr>
          <w:b/>
          <w:i w:val="0"/>
          <w:smallCaps w:val="0"/>
          <w:strike w:val="0"/>
          <w:sz w:val="22"/>
          <w:u w:val="single"/>
        </w:rPr>
        <w:t xml:space="preserve">, and is under </w:t>
      </w:r>
      <w:r>
        <w:rPr>
          <w:b/>
          <w:i w:val="0"/>
          <w:smallCaps w:val="0"/>
          <w:strike w:val="0"/>
          <w:sz w:val="22"/>
          <w:u w:val="single"/>
        </w:rPr>
        <w:t>Title 26</w:t>
      </w:r>
      <w:r>
        <w:rPr>
          <w:b/>
          <w:i w:val="0"/>
          <w:smallCaps w:val="0"/>
          <w:strike w:val="0"/>
          <w:sz w:val="22"/>
          <w:u w:val="single"/>
        </w:rPr>
        <w:t xml:space="preserve"> of the United States </w:t>
      </w:r>
      <w:r>
        <w:rPr>
          <w:b/>
          <w:i w:val="0"/>
          <w:smallCaps w:val="0"/>
          <w:strike w:val="0"/>
          <w:sz w:val="22"/>
          <w:u w:val="single"/>
        </w:rPr>
        <w:t>Code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(USC). The IRC has 11 subtitles, including income taxes, employment taxes, coal industry health benefits, and group health plan requirements. </w:t>
      </w:r>
      <w:r>
        <w:rPr>
          <w:b/>
          <w:i w:val="0"/>
          <w:smallCaps w:val="0"/>
          <w:strike w:val="0"/>
          <w:sz w:val="22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implementing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agency</w:t>
      </w:r>
      <w:r>
        <w:rPr>
          <w:b/>
          <w:i w:val="0"/>
          <w:smallCaps w:val="0"/>
          <w:strike w:val="0"/>
          <w:sz w:val="22"/>
          <w:u w:val="single"/>
        </w:rPr>
        <w:t xml:space="preserve"> of IRC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nternal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evenue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>ervice (IRS).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IRC</w:t>
      </w:r>
      <w:r>
        <w:rPr>
          <w:b/>
          <w:i w:val="0"/>
          <w:smallCaps w:val="0"/>
          <w:strike w:val="0"/>
          <w:sz w:val="22"/>
          <w:u w:val="single"/>
        </w:rPr>
        <w:t xml:space="preserve"> is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governing law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of</w:t>
      </w:r>
      <w:r>
        <w:rPr>
          <w:b/>
          <w:i w:val="0"/>
          <w:smallCaps w:val="0"/>
          <w:strike w:val="0"/>
          <w:sz w:val="22"/>
          <w:u w:val="single"/>
        </w:rPr>
        <w:t xml:space="preserve"> federal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tax administration</w:t>
      </w:r>
      <w:r>
        <w:rPr>
          <w:b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collection</w:t>
      </w:r>
      <w:r>
        <w:rPr>
          <w:b w:val="0"/>
          <w:i w:val="0"/>
          <w:smallCaps w:val="0"/>
          <w:strike w:val="0"/>
          <w:sz w:val="16"/>
          <w:u w:val="none"/>
        </w:rPr>
        <w:t>. State law creates legal interests and rights, but IRC designates what interests and rights shall be taxed. Like criminal laws, IRC cannot be applied retroactively.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