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is a </w:t>
      </w:r>
      <w:r>
        <w:rPr>
          <w:b/>
          <w:i w:val="0"/>
          <w:smallCaps w:val="0"/>
          <w:strike w:val="0"/>
          <w:sz w:val="26"/>
          <w:u w:val="single"/>
        </w:rPr>
        <w:t>specific area</w:t>
      </w:r>
      <w:r>
        <w:rPr>
          <w:b/>
          <w:i w:val="0"/>
          <w:smallCaps w:val="0"/>
          <w:strike w:val="0"/>
          <w:sz w:val="26"/>
          <w:u w:val="none"/>
        </w:rPr>
        <w:t xml:space="preserve"> of law.</w:t>
      </w:r>
    </w:p>
    <w:p>
      <w:pPr>
        <w:spacing w:after="80"/>
      </w:pPr>
      <w:r>
        <w:rPr>
          <w:b/>
          <w:i w:val="0"/>
          <w:smallCaps w:val="0"/>
          <w:strike w:val="0"/>
          <w:sz w:val="26"/>
          <w:u w:val="none"/>
        </w:rPr>
        <w:t>Kachulis ’23</w:t>
      </w:r>
      <w:r>
        <w:rPr>
          <w:b w:val="0"/>
          <w:i w:val="0"/>
          <w:smallCaps w:val="0"/>
          <w:strike w:val="0"/>
          <w:u w:val="none"/>
        </w:rPr>
        <w:t xml:space="preserve"> [Louis; April 20; J.D. from the University of Southern California; University of Southern California Law Library, “Intellectual Property,” </w:t>
      </w:r>
      <w:r>
        <w:rPr>
          <w:b w:val="0"/>
          <w:i w:val="0"/>
          <w:smallCaps w:val="0"/>
          <w:strike w:val="0"/>
          <w:u w:val="none"/>
        </w:rPr>
        <w:t>] pbk</w:t>
      </w:r>
    </w:p>
    <w:p>
      <w:pPr>
        <w:spacing w:after="60"/>
      </w:pPr>
      <w:r>
        <w:rPr>
          <w:b/>
          <w:i w:val="0"/>
          <w:smallCaps w:val="0"/>
          <w:strike w:val="0"/>
          <w:sz w:val="22"/>
          <w:highlight w:val="cyan"/>
          <w:u w:val="single"/>
        </w:rPr>
        <w:t xml:space="preserve">Federal </w:t>
      </w:r>
      <w:r>
        <w:rPr>
          <w:b/>
          <w:i w:val="0"/>
          <w:smallCaps w:val="0"/>
          <w:strike w:val="0"/>
          <w:sz w:val="22"/>
          <w:highlight w:val="cyan"/>
          <w:u w:val="single"/>
        </w:rPr>
        <w:t>IP law</w:t>
      </w:r>
      <w:r>
        <w:rPr>
          <w:b/>
          <w:i w:val="0"/>
          <w:smallCaps w:val="0"/>
          <w:strike w:val="0"/>
          <w:sz w:val="22"/>
          <w:u w:val="single"/>
        </w:rPr>
        <w:t xml:space="preserve"> is </w:t>
      </w:r>
      <w:r>
        <w:rPr>
          <w:b/>
          <w:i w:val="0"/>
          <w:smallCaps w:val="0"/>
          <w:strike w:val="0"/>
          <w:sz w:val="22"/>
          <w:highlight w:val="cyan"/>
          <w:u w:val="single"/>
        </w:rPr>
        <w:t>codified</w:t>
      </w:r>
      <w:r>
        <w:rPr>
          <w:b/>
          <w:i w:val="0"/>
          <w:smallCaps w:val="0"/>
          <w:strike w:val="0"/>
          <w:sz w:val="22"/>
          <w:u w:val="single"/>
        </w:rPr>
        <w:t xml:space="preserve"> and located </w:t>
      </w:r>
      <w:r>
        <w:rPr>
          <w:b/>
          <w:i w:val="0"/>
          <w:smallCaps w:val="0"/>
          <w:strike w:val="0"/>
          <w:sz w:val="22"/>
          <w:highlight w:val="cyan"/>
          <w:u w:val="single"/>
        </w:rPr>
        <w:t xml:space="preserve">in the </w:t>
      </w:r>
      <w:r>
        <w:rPr>
          <w:b/>
          <w:i w:val="0"/>
          <w:smallCaps w:val="0"/>
          <w:strike w:val="0"/>
          <w:sz w:val="22"/>
          <w:highlight w:val="cyan"/>
          <w:u w:val="single"/>
        </w:rPr>
        <w:t>U.S. Code</w:t>
      </w:r>
      <w:r>
        <w:rPr>
          <w:b w:val="0"/>
          <w:i w:val="0"/>
          <w:smallCaps w:val="0"/>
          <w:strike w:val="0"/>
          <w:sz w:val="16"/>
          <w:u w:val="none"/>
        </w:rPr>
        <w:t>, and includes specific sections that cover patents, copyrights, and trademarks.</w:t>
      </w:r>
    </w:p>
    <w:p>
      <w:pPr>
        <w:spacing w:after="60"/>
      </w:pPr>
      <w:r>
        <w:rPr>
          <w:b/>
          <w:i w:val="0"/>
          <w:smallCaps w:val="0"/>
          <w:strike w:val="0"/>
          <w:sz w:val="22"/>
          <w:highlight w:val="cyan"/>
          <w:u w:val="single"/>
        </w:rPr>
        <w:t xml:space="preserve">Title </w:t>
      </w:r>
      <w:r>
        <w:rPr>
          <w:b/>
          <w:i w:val="0"/>
          <w:smallCaps w:val="0"/>
          <w:strike w:val="0"/>
          <w:sz w:val="22"/>
          <w:highlight w:val="cyan"/>
          <w:u w:val="single"/>
        </w:rPr>
        <w:t>35</w:t>
      </w:r>
      <w:r>
        <w:rPr>
          <w:b/>
          <w:i w:val="0"/>
          <w:smallCaps w:val="0"/>
          <w:strike w:val="0"/>
          <w:sz w:val="22"/>
          <w:u w:val="single"/>
        </w:rPr>
        <w:t xml:space="preserve"> of the U.S. Code </w:t>
      </w:r>
      <w:r>
        <w:rPr>
          <w:b/>
          <w:i w:val="0"/>
          <w:smallCaps w:val="0"/>
          <w:strike w:val="0"/>
          <w:sz w:val="22"/>
          <w:highlight w:val="cyan"/>
          <w:u w:val="single"/>
        </w:rPr>
        <w:t>contains</w:t>
      </w:r>
      <w:r>
        <w:rPr>
          <w:b/>
          <w:i w:val="0"/>
          <w:smallCaps w:val="0"/>
          <w:strike w:val="0"/>
          <w:sz w:val="22"/>
          <w:u w:val="single"/>
        </w:rPr>
        <w:t xml:space="preserve"> federal </w:t>
      </w:r>
      <w:r>
        <w:rPr>
          <w:b/>
          <w:i w:val="0"/>
          <w:smallCaps w:val="0"/>
          <w:strike w:val="0"/>
          <w:sz w:val="22"/>
          <w:highlight w:val="cyan"/>
          <w:u w:val="single"/>
        </w:rPr>
        <w:t>law</w:t>
      </w:r>
      <w:r>
        <w:rPr>
          <w:b/>
          <w:i w:val="0"/>
          <w:smallCaps w:val="0"/>
          <w:strike w:val="0"/>
          <w:sz w:val="22"/>
          <w:highlight w:val="cyan"/>
          <w:u w:val="single"/>
        </w:rPr>
        <w:t xml:space="preserve"> for </w:t>
      </w:r>
      <w:r>
        <w:rPr>
          <w:b/>
          <w:i w:val="0"/>
          <w:smallCaps w:val="0"/>
          <w:strike w:val="0"/>
          <w:sz w:val="22"/>
          <w:highlight w:val="cyan"/>
          <w:u w:val="single"/>
        </w:rPr>
        <w:t>patents</w:t>
      </w:r>
      <w:r>
        <w:rPr>
          <w:b w:val="0"/>
          <w:i w:val="0"/>
          <w:smallCaps w:val="0"/>
          <w:strike w:val="0"/>
          <w:sz w:val="16"/>
          <w:u w:val="none"/>
        </w:rPr>
        <w:t>. Included among the 37 chapters of this title are law concerning the makeup and powers of the USPTO, requirements for patentability of an invention, and technical requirements of a patent application.</w:t>
      </w:r>
    </w:p>
    <w:p>
      <w:pPr>
        <w:spacing w:after="60"/>
      </w:pPr>
      <w:r>
        <w:rPr>
          <w:b/>
          <w:i w:val="0"/>
          <w:smallCaps w:val="0"/>
          <w:strike w:val="0"/>
          <w:sz w:val="22"/>
          <w:highlight w:val="cyan"/>
          <w:u w:val="single"/>
        </w:rPr>
        <w:t xml:space="preserve">Title </w:t>
      </w:r>
      <w:r>
        <w:rPr>
          <w:b/>
          <w:i w:val="0"/>
          <w:smallCaps w:val="0"/>
          <w:strike w:val="0"/>
          <w:sz w:val="22"/>
          <w:highlight w:val="cyan"/>
          <w:u w:val="single"/>
        </w:rPr>
        <w:t>17</w:t>
      </w:r>
      <w:r>
        <w:rPr>
          <w:b/>
          <w:i w:val="0"/>
          <w:smallCaps w:val="0"/>
          <w:strike w:val="0"/>
          <w:sz w:val="22"/>
          <w:u w:val="single"/>
        </w:rPr>
        <w:t xml:space="preserve"> of the U.S. Code </w:t>
      </w:r>
      <w:r>
        <w:rPr>
          <w:b/>
          <w:i w:val="0"/>
          <w:smallCaps w:val="0"/>
          <w:strike w:val="0"/>
          <w:sz w:val="22"/>
          <w:highlight w:val="cyan"/>
          <w:u w:val="single"/>
        </w:rPr>
        <w:t xml:space="preserve">governs </w:t>
      </w:r>
      <w:r>
        <w:rPr>
          <w:b/>
          <w:i w:val="0"/>
          <w:smallCaps w:val="0"/>
          <w:strike w:val="0"/>
          <w:sz w:val="22"/>
          <w:highlight w:val="cyan"/>
          <w:u w:val="single"/>
        </w:rPr>
        <w:t>copyrights</w:t>
      </w:r>
      <w:r>
        <w:rPr>
          <w:b w:val="0"/>
          <w:i w:val="0"/>
          <w:smallCaps w:val="0"/>
          <w:strike w:val="0"/>
          <w:sz w:val="16"/>
          <w:u w:val="none"/>
        </w:rPr>
        <w:t>. Its 13 chapters lay out copyright requirements, as well as copyright ownership and transfer law, Copyright Office responsibilities, and industry-specific copyright issues.</w:t>
      </w:r>
    </w:p>
    <w:p>
      <w:pPr>
        <w:spacing w:after="60"/>
      </w:pPr>
      <w:r>
        <w:rPr>
          <w:b/>
          <w:i w:val="0"/>
          <w:smallCaps w:val="0"/>
          <w:strike w:val="0"/>
          <w:sz w:val="22"/>
          <w:highlight w:val="cyan"/>
          <w:u w:val="single"/>
        </w:rPr>
        <w:t>Trademarks</w:t>
      </w:r>
      <w:r>
        <w:rPr>
          <w:b/>
          <w:i w:val="0"/>
          <w:smallCaps w:val="0"/>
          <w:strike w:val="0"/>
          <w:sz w:val="22"/>
          <w:u w:val="single"/>
        </w:rPr>
        <w:t xml:space="preserve"> are </w:t>
      </w:r>
      <w:r>
        <w:rPr>
          <w:b/>
          <w:i w:val="0"/>
          <w:smallCaps w:val="0"/>
          <w:strike w:val="0"/>
          <w:sz w:val="22"/>
          <w:highlight w:val="cyan"/>
          <w:u w:val="single"/>
        </w:rPr>
        <w:t>primarily</w:t>
      </w:r>
      <w:r>
        <w:rPr>
          <w:b/>
          <w:i w:val="0"/>
          <w:smallCaps w:val="0"/>
          <w:strike w:val="0"/>
          <w:sz w:val="22"/>
          <w:highlight w:val="cyan"/>
          <w:u w:val="single"/>
        </w:rPr>
        <w:t xml:space="preserve"> governed by Title </w:t>
      </w:r>
      <w:r>
        <w:rPr>
          <w:b/>
          <w:i w:val="0"/>
          <w:smallCaps w:val="0"/>
          <w:strike w:val="0"/>
          <w:sz w:val="22"/>
          <w:highlight w:val="cyan"/>
          <w:u w:val="single"/>
        </w:rPr>
        <w:t>15</w:t>
      </w:r>
      <w:r>
        <w:rPr>
          <w:b/>
          <w:i w:val="0"/>
          <w:smallCaps w:val="0"/>
          <w:strike w:val="0"/>
          <w:sz w:val="22"/>
          <w:u w:val="single"/>
        </w:rPr>
        <w:t xml:space="preserve">, Chapter 22 of the U.S. Code, which is the </w:t>
      </w:r>
      <w:r>
        <w:rPr>
          <w:b/>
          <w:i w:val="0"/>
          <w:smallCaps w:val="0"/>
          <w:strike w:val="0"/>
          <w:sz w:val="22"/>
          <w:highlight w:val="cyan"/>
          <w:u w:val="single"/>
        </w:rPr>
        <w:t>codified</w:t>
      </w:r>
      <w:r>
        <w:rPr>
          <w:b/>
          <w:i w:val="0"/>
          <w:smallCaps w:val="0"/>
          <w:strike w:val="0"/>
          <w:sz w:val="22"/>
          <w:highlight w:val="cyan"/>
          <w:u w:val="single"/>
        </w:rPr>
        <w:t xml:space="preserve"> version of the </w:t>
      </w:r>
      <w:r>
        <w:rPr>
          <w:b/>
          <w:i w:val="0"/>
          <w:smallCaps w:val="0"/>
          <w:strike w:val="0"/>
          <w:sz w:val="22"/>
          <w:highlight w:val="cyan"/>
          <w:u w:val="single"/>
        </w:rPr>
        <w:t>Lanham Act</w:t>
      </w:r>
      <w:r>
        <w:rPr>
          <w:b w:val="0"/>
          <w:i w:val="0"/>
          <w:smallCaps w:val="0"/>
          <w:strike w:val="0"/>
          <w:sz w:val="16"/>
          <w:u w:val="none"/>
        </w:rPr>
        <w:t xml:space="preserve"> of 1946. The Lanham Act sets forth requirements for valid trademarks and for trademark infringement. </w:t>
      </w:r>
      <w:r>
        <w:rPr>
          <w:b/>
          <w:i w:val="0"/>
          <w:smallCaps w:val="0"/>
          <w:strike w:val="0"/>
          <w:sz w:val="22"/>
          <w:highlight w:val="cyan"/>
          <w:u w:val="single"/>
        </w:rPr>
        <w:t>Trademarks are also governed by</w:t>
      </w:r>
      <w:r>
        <w:rPr>
          <w:b/>
          <w:i w:val="0"/>
          <w:smallCaps w:val="0"/>
          <w:strike w:val="0"/>
          <w:sz w:val="22"/>
          <w:u w:val="single"/>
        </w:rPr>
        <w:t xml:space="preserve"> </w:t>
      </w:r>
      <w:r>
        <w:rPr>
          <w:b/>
          <w:i w:val="0"/>
          <w:smallCaps w:val="0"/>
          <w:strike w:val="0"/>
          <w:sz w:val="22"/>
          <w:u w:val="single"/>
        </w:rPr>
        <w:t>portions</w:t>
      </w:r>
      <w:r>
        <w:rPr>
          <w:b/>
          <w:i w:val="0"/>
          <w:smallCaps w:val="0"/>
          <w:strike w:val="0"/>
          <w:sz w:val="22"/>
          <w:u w:val="single"/>
        </w:rPr>
        <w:t xml:space="preserve"> of </w:t>
      </w:r>
      <w:r>
        <w:rPr>
          <w:b/>
          <w:i w:val="0"/>
          <w:smallCaps w:val="0"/>
          <w:strike w:val="0"/>
          <w:sz w:val="22"/>
          <w:highlight w:val="cyan"/>
          <w:u w:val="single"/>
        </w:rPr>
        <w:t xml:space="preserve">Title </w:t>
      </w:r>
      <w:r>
        <w:rPr>
          <w:b/>
          <w:i w:val="0"/>
          <w:smallCaps w:val="0"/>
          <w:strike w:val="0"/>
          <w:sz w:val="22"/>
          <w:highlight w:val="cyan"/>
          <w:u w:val="single"/>
        </w:rPr>
        <w:t>35</w:t>
      </w:r>
      <w:r>
        <w:rPr>
          <w:b/>
          <w:i w:val="0"/>
          <w:smallCaps w:val="0"/>
          <w:strike w:val="0"/>
          <w:sz w:val="22"/>
          <w:u w:val="single"/>
        </w:rPr>
        <w:t xml:space="preserve"> that </w:t>
      </w:r>
      <w:r>
        <w:rPr>
          <w:b/>
          <w:i w:val="0"/>
          <w:smallCaps w:val="0"/>
          <w:strike w:val="0"/>
          <w:sz w:val="22"/>
          <w:highlight w:val="cyan"/>
          <w:u w:val="single"/>
        </w:rPr>
        <w:t xml:space="preserve">involve the </w:t>
      </w:r>
      <w:r>
        <w:rPr>
          <w:b/>
          <w:i w:val="0"/>
          <w:smallCaps w:val="0"/>
          <w:strike w:val="0"/>
          <w:sz w:val="22"/>
          <w:highlight w:val="cyan"/>
          <w:u w:val="single"/>
        </w:rPr>
        <w:t>USPTO</w:t>
      </w:r>
      <w:r>
        <w:rPr>
          <w:b w:val="0"/>
          <w:i w:val="0"/>
          <w:smallCaps w:val="0"/>
          <w:strike w:val="0"/>
          <w:sz w:val="16"/>
          <w:u w:val="none"/>
        </w:rPr>
        <w:t>.</w:t>
      </w:r>
    </w:p>
    <w:p>
      <w:pPr>
        <w:spacing w:after="60"/>
      </w:pPr>
      <w:r>
        <w:rPr>
          <w:b w:val="0"/>
          <w:i w:val="0"/>
          <w:smallCaps w:val="0"/>
          <w:strike w:val="0"/>
          <w:sz w:val="16"/>
          <w:u w:val="none"/>
        </w:rPr>
        <w:t xml:space="preserve">Print versions of the U.S. Code are located in the law library, and electronic versions can be accessed via Lexis, Westlaw, Bloomberg Law, govinfo.gov, and Cornell Legal Information Institute, </w:t>
      </w:r>
    </w:p>
    <w:p>
      <w:pPr>
        <w:spacing w:after="60"/>
      </w:pPr>
      <w:r>
        <w:rPr>
          <w:b w:val="0"/>
          <w:i w:val="0"/>
          <w:smallCaps w:val="0"/>
          <w:strike w:val="0"/>
          <w:sz w:val="16"/>
          <w:u w:val="none"/>
        </w:rPr>
        <w:t>Administrative Law</w:t>
      </w:r>
    </w:p>
    <w:p>
      <w:pPr>
        <w:spacing w:after="60"/>
      </w:pPr>
      <w:r>
        <w:rPr>
          <w:b w:val="0"/>
          <w:i w:val="0"/>
          <w:smallCaps w:val="0"/>
          <w:strike w:val="0"/>
          <w:sz w:val="16"/>
          <w:u w:val="none"/>
        </w:rPr>
        <w:t>Patents, trademarks, and copyrights are granted/registered through two federal organizations: the United States Patent and Trademark Office and the United States Copyright Office. These organizations also help to maintain IP policy.</w:t>
      </w:r>
    </w:p>
    <w:p>
      <w:pPr>
        <w:spacing w:after="60"/>
      </w:pPr>
      <w:r>
        <w:rPr>
          <w:b w:val="0"/>
          <w:i w:val="0"/>
          <w:smallCaps w:val="0"/>
          <w:strike w:val="0"/>
          <w:sz w:val="16"/>
          <w:u w:val="none"/>
        </w:rPr>
        <w:t xml:space="preserve">United States Patent and Trademark Office - </w:t>
      </w:r>
      <w:r>
        <w:rPr>
          <w:b/>
          <w:i w:val="0"/>
          <w:smallCaps w:val="0"/>
          <w:strike w:val="0"/>
          <w:sz w:val="22"/>
          <w:u w:val="single"/>
        </w:rPr>
        <w:t xml:space="preserve">The </w:t>
      </w:r>
      <w:r>
        <w:rPr>
          <w:b/>
          <w:i w:val="0"/>
          <w:smallCaps w:val="0"/>
          <w:strike w:val="0"/>
          <w:sz w:val="22"/>
          <w:highlight w:val="cyan"/>
          <w:u w:val="single"/>
        </w:rPr>
        <w:t>USPTO</w:t>
      </w:r>
      <w:r>
        <w:rPr>
          <w:b/>
          <w:i w:val="0"/>
          <w:smallCaps w:val="0"/>
          <w:strike w:val="0"/>
          <w:sz w:val="22"/>
          <w:highlight w:val="cyan"/>
          <w:u w:val="single"/>
        </w:rPr>
        <w:t xml:space="preserve"> grants </w:t>
      </w:r>
      <w:r>
        <w:rPr>
          <w:b/>
          <w:i w:val="0"/>
          <w:smallCaps w:val="0"/>
          <w:strike w:val="0"/>
          <w:sz w:val="22"/>
          <w:highlight w:val="cyan"/>
          <w:u w:val="single"/>
        </w:rPr>
        <w:t>patents</w:t>
      </w:r>
      <w:r>
        <w:rPr>
          <w:b/>
          <w:i w:val="0"/>
          <w:smallCaps w:val="0"/>
          <w:strike w:val="0"/>
          <w:sz w:val="22"/>
          <w:highlight w:val="cyan"/>
          <w:u w:val="single"/>
        </w:rPr>
        <w:t xml:space="preserve"> and registers </w:t>
      </w:r>
      <w:r>
        <w:rPr>
          <w:b/>
          <w:i w:val="0"/>
          <w:smallCaps w:val="0"/>
          <w:strike w:val="0"/>
          <w:sz w:val="22"/>
          <w:highlight w:val="cyan"/>
          <w:u w:val="single"/>
        </w:rPr>
        <w:t>trademarks</w:t>
      </w:r>
      <w:r>
        <w:rPr>
          <w:b w:val="0"/>
          <w:i w:val="0"/>
          <w:smallCaps w:val="0"/>
          <w:strike w:val="0"/>
          <w:sz w:val="16"/>
          <w:u w:val="none"/>
        </w:rPr>
        <w:t xml:space="preserve">. After a decision is made on whether to grant/register or deny a trademark or patent, parties can appeal the decision through either the Patent Trial and Appeal Board or the Trademark Trial and Appeal Board. Appeals of PTAB and TTAB decisions are heard by the Court of Appeals for the Federal Circuit. The USPTO website contains applications, PTAB and TTAB decisions, and USPTO procedures, among other resources. </w:t>
      </w:r>
    </w:p>
    <w:p>
      <w:pPr>
        <w:spacing w:after="60"/>
      </w:pPr>
      <w:r>
        <w:rPr>
          <w:b w:val="0"/>
          <w:i w:val="0"/>
          <w:smallCaps w:val="0"/>
          <w:strike w:val="0"/>
          <w:sz w:val="16"/>
          <w:u w:val="none"/>
        </w:rPr>
        <w:t>United States Copyright Office - The U.S. Copyright Office registers copyrights as a department of the Library of Congress. The Copyright Office website contains information on Copyright Office operating procedures, policy decisions, and registered copyrights.</w:t>
      </w:r>
    </w:p>
    <w:p>
      <w:pPr>
        <w:spacing w:after="60"/>
      </w:pPr>
      <w:r>
        <w:rPr>
          <w:b w:val="0"/>
          <w:i w:val="0"/>
          <w:smallCaps w:val="0"/>
          <w:strike w:val="0"/>
          <w:sz w:val="16"/>
          <w:u w:val="none"/>
        </w:rPr>
        <w:t>Case Law</w:t>
      </w:r>
    </w:p>
    <w:p>
      <w:pPr>
        <w:spacing w:after="60"/>
      </w:pPr>
      <w:r>
        <w:rPr>
          <w:b/>
          <w:i w:val="0"/>
          <w:smallCaps w:val="0"/>
          <w:strike w:val="0"/>
          <w:sz w:val="22"/>
          <w:highlight w:val="cyan"/>
          <w:u w:val="single"/>
        </w:rPr>
        <w:t>IP litigation</w:t>
      </w:r>
      <w:r>
        <w:rPr>
          <w:b/>
          <w:i w:val="0"/>
          <w:smallCaps w:val="0"/>
          <w:strike w:val="0"/>
          <w:sz w:val="22"/>
          <w:highlight w:val="cyan"/>
          <w:u w:val="single"/>
        </w:rPr>
        <w:t xml:space="preserve"> occurs</w:t>
      </w:r>
      <w:r>
        <w:rPr>
          <w:b/>
          <w:i w:val="0"/>
          <w:smallCaps w:val="0"/>
          <w:strike w:val="0"/>
          <w:sz w:val="22"/>
          <w:u w:val="single"/>
        </w:rPr>
        <w:t xml:space="preserve"> almost exclusively </w:t>
      </w:r>
      <w:r>
        <w:rPr>
          <w:b/>
          <w:i w:val="0"/>
          <w:smallCaps w:val="0"/>
          <w:strike w:val="0"/>
          <w:sz w:val="22"/>
          <w:highlight w:val="cyan"/>
          <w:u w:val="single"/>
        </w:rPr>
        <w:t xml:space="preserve">in </w:t>
      </w:r>
      <w:r>
        <w:rPr>
          <w:b/>
          <w:i w:val="0"/>
          <w:smallCaps w:val="0"/>
          <w:strike w:val="0"/>
          <w:sz w:val="22"/>
          <w:highlight w:val="cyan"/>
          <w:u w:val="single"/>
        </w:rPr>
        <w:t>federal court</w:t>
      </w:r>
      <w:r>
        <w:rPr>
          <w:b/>
          <w:i w:val="0"/>
          <w:smallCaps w:val="0"/>
          <w:strike w:val="0"/>
          <w:sz w:val="22"/>
          <w:highlight w:val="cyan"/>
          <w:u w:val="single"/>
        </w:rPr>
        <w:t xml:space="preserve">, and administrative </w:t>
      </w:r>
      <w:r>
        <w:rPr>
          <w:b/>
          <w:i w:val="0"/>
          <w:smallCaps w:val="0"/>
          <w:strike w:val="0"/>
          <w:sz w:val="22"/>
          <w:highlight w:val="cyan"/>
          <w:u w:val="single"/>
        </w:rPr>
        <w:t>courts</w:t>
      </w:r>
      <w:r>
        <w:rPr>
          <w:b/>
          <w:i w:val="0"/>
          <w:smallCaps w:val="0"/>
          <w:strike w:val="0"/>
          <w:sz w:val="22"/>
          <w:u w:val="single"/>
        </w:rPr>
        <w:t xml:space="preserve"> are sometimes used for </w:t>
      </w:r>
      <w:r>
        <w:rPr>
          <w:b/>
          <w:i w:val="0"/>
          <w:smallCaps w:val="0"/>
          <w:strike w:val="0"/>
          <w:sz w:val="22"/>
          <w:u w:val="single"/>
        </w:rPr>
        <w:t>appeals</w:t>
      </w:r>
      <w:r>
        <w:rPr>
          <w:b/>
          <w:i w:val="0"/>
          <w:smallCaps w:val="0"/>
          <w:strike w:val="0"/>
          <w:sz w:val="22"/>
          <w:u w:val="single"/>
        </w:rPr>
        <w:t xml:space="preserve"> and </w:t>
      </w:r>
      <w:r>
        <w:rPr>
          <w:b/>
          <w:i w:val="0"/>
          <w:smallCaps w:val="0"/>
          <w:strike w:val="0"/>
          <w:sz w:val="22"/>
          <w:u w:val="single"/>
        </w:rPr>
        <w:t>other issues</w:t>
      </w:r>
      <w:r>
        <w:rPr>
          <w:b w:val="0"/>
          <w:i w:val="0"/>
          <w:smallCaps w:val="0"/>
          <w:strike w:val="0"/>
          <w:sz w:val="16"/>
          <w:u w:val="none"/>
        </w:rPr>
        <w:t xml:space="preserve">. </w:t>
      </w:r>
    </w:p>
    <w:p>
      <w:pPr>
        <w:spacing w:after="60"/>
      </w:pPr>
      <w:r>
        <w:rPr>
          <w:b/>
          <w:i w:val="0"/>
          <w:smallCaps w:val="0"/>
          <w:strike w:val="0"/>
          <w:sz w:val="22"/>
          <w:u w:val="single"/>
        </w:rPr>
        <w:t xml:space="preserve">Patent and Trademark </w:t>
      </w:r>
      <w:r>
        <w:rPr>
          <w:b/>
          <w:i w:val="0"/>
          <w:smallCaps w:val="0"/>
          <w:strike w:val="0"/>
          <w:sz w:val="22"/>
          <w:highlight w:val="cyan"/>
          <w:u w:val="single"/>
        </w:rPr>
        <w:t>infringement</w:t>
      </w:r>
      <w:r>
        <w:rPr>
          <w:b/>
          <w:i w:val="0"/>
          <w:smallCaps w:val="0"/>
          <w:strike w:val="0"/>
          <w:sz w:val="22"/>
          <w:highlight w:val="cyan"/>
          <w:u w:val="single"/>
        </w:rPr>
        <w:t xml:space="preserve"> cases</w:t>
      </w:r>
      <w:r>
        <w:rPr>
          <w:b/>
          <w:i w:val="0"/>
          <w:smallCaps w:val="0"/>
          <w:strike w:val="0"/>
          <w:sz w:val="22"/>
          <w:u w:val="single"/>
        </w:rPr>
        <w:t xml:space="preserve"> are </w:t>
      </w:r>
      <w:r>
        <w:rPr>
          <w:b/>
          <w:i w:val="0"/>
          <w:smallCaps w:val="0"/>
          <w:strike w:val="0"/>
          <w:sz w:val="22"/>
          <w:highlight w:val="cyan"/>
          <w:u w:val="single"/>
        </w:rPr>
        <w:t>heard in</w:t>
      </w:r>
      <w:r>
        <w:rPr>
          <w:b/>
          <w:i w:val="0"/>
          <w:smallCaps w:val="0"/>
          <w:strike w:val="0"/>
          <w:sz w:val="22"/>
          <w:u w:val="single"/>
        </w:rPr>
        <w:t xml:space="preserve"> Federal </w:t>
      </w:r>
      <w:r>
        <w:rPr>
          <w:b/>
          <w:i w:val="0"/>
          <w:smallCaps w:val="0"/>
          <w:strike w:val="0"/>
          <w:sz w:val="22"/>
          <w:highlight w:val="cyan"/>
          <w:u w:val="single"/>
        </w:rPr>
        <w:t>District Courts</w:t>
      </w:r>
      <w:r>
        <w:rPr>
          <w:b w:val="0"/>
          <w:i w:val="0"/>
          <w:smallCaps w:val="0"/>
          <w:strike w:val="0"/>
          <w:sz w:val="16"/>
          <w:u w:val="none"/>
        </w:rPr>
        <w:t>, and appeals are heard by the U.S. Court of Appeals for the Federal Circuit, regardless of the District in which the case was originally decided, and then finally by the U.S. Supreme Court.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