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Empirically, it’s </w:t>
      </w:r>
      <w:r>
        <w:rPr>
          <w:b/>
          <w:i w:val="0"/>
          <w:smallCaps w:val="0"/>
          <w:strike w:val="0"/>
          <w:sz w:val="26"/>
          <w:u w:val="single"/>
        </w:rPr>
        <w:t>referred</w:t>
      </w:r>
      <w:r>
        <w:rPr>
          <w:b/>
          <w:i w:val="0"/>
          <w:smallCaps w:val="0"/>
          <w:strike w:val="0"/>
          <w:sz w:val="26"/>
          <w:u w:val="none"/>
        </w:rPr>
        <w:t xml:space="preserve"> to methods of making </w:t>
      </w:r>
      <w:r>
        <w:rPr>
          <w:b/>
          <w:i w:val="0"/>
          <w:smallCaps w:val="0"/>
          <w:strike w:val="0"/>
          <w:sz w:val="26"/>
          <w:u w:val="single"/>
        </w:rPr>
        <w:t>existing laws</w:t>
      </w:r>
      <w:r>
        <w:rPr>
          <w:b/>
          <w:i w:val="0"/>
          <w:smallCaps w:val="0"/>
          <w:strike w:val="0"/>
          <w:sz w:val="26"/>
          <w:u w:val="none"/>
        </w:rPr>
        <w:t xml:space="preserve"> more </w:t>
      </w:r>
      <w:r>
        <w:rPr>
          <w:b/>
          <w:i w:val="0"/>
          <w:smallCaps w:val="0"/>
          <w:strike w:val="0"/>
          <w:sz w:val="26"/>
          <w:u w:val="single"/>
        </w:rPr>
        <w:t>efficient</w:t>
      </w:r>
      <w:r>
        <w:rPr>
          <w:b/>
          <w:i w:val="0"/>
          <w:smallCaps w:val="0"/>
          <w:strike w:val="0"/>
          <w:sz w:val="26"/>
          <w:u w:val="none"/>
        </w:rPr>
        <w:t xml:space="preserve"> AND </w:t>
      </w:r>
      <w:r>
        <w:rPr>
          <w:b/>
          <w:i w:val="0"/>
          <w:smallCaps w:val="0"/>
          <w:strike w:val="0"/>
          <w:sz w:val="26"/>
          <w:u w:val="single"/>
        </w:rPr>
        <w:t>effective</w:t>
      </w:r>
      <w:r>
        <w:rPr>
          <w:b/>
          <w:i w:val="0"/>
          <w:smallCaps w:val="0"/>
          <w:strike w:val="0"/>
          <w:sz w:val="26"/>
          <w:u w:val="none"/>
        </w:rPr>
        <w:t>.</w:t>
      </w:r>
    </w:p>
    <w:p>
      <w:pPr>
        <w:spacing w:after="80"/>
      </w:pPr>
      <w:r>
        <w:rPr>
          <w:b/>
          <w:i w:val="0"/>
          <w:smallCaps w:val="0"/>
          <w:strike w:val="0"/>
          <w:sz w:val="26"/>
          <w:u w:val="none"/>
        </w:rPr>
        <w:t>HKTDC ’20</w:t>
      </w:r>
      <w:r>
        <w:rPr>
          <w:b w:val="0"/>
          <w:i w:val="0"/>
          <w:smallCaps w:val="0"/>
          <w:strike w:val="0"/>
          <w:u w:val="none"/>
        </w:rPr>
        <w:t xml:space="preserve"> [Hong Kong Trade Development Council; July 20; Statutory Body Dedicated to Create Opportunities for Hong Kong’s Businesses; HKTDC Research, “New Action Plan is Proposed to Strengthen Intellectual Property Throughout the EU,” </w:t>
      </w:r>
      <w:r>
        <w:rPr>
          <w:b w:val="0"/>
          <w:i w:val="0"/>
          <w:smallCaps w:val="0"/>
          <w:strike w:val="0"/>
          <w:u w:val="none"/>
        </w:rPr>
        <w:t>] pbk</w:t>
      </w:r>
    </w:p>
    <w:p>
      <w:pPr>
        <w:spacing w:after="60"/>
      </w:pPr>
      <w:r>
        <w:rPr>
          <w:b w:val="0"/>
          <w:i w:val="0"/>
          <w:smallCaps w:val="0"/>
          <w:strike w:val="0"/>
          <w:sz w:val="16"/>
          <w:u w:val="none"/>
        </w:rPr>
        <w:t>On 10 July 2020, an initiative was launched by the European Commission, to effectively protect and manage intellectual property EU</w:t>
      </w:r>
      <w:r>
        <w:rPr>
          <w:b w:val="0"/>
          <w:i w:val="0"/>
          <w:smallCaps w:val="0"/>
          <w:strike w:val="0"/>
          <w:sz w:val="16"/>
          <w:u w:val="none"/>
        </w:rPr>
        <w:t>‑</w:t>
      </w:r>
      <w:r>
        <w:rPr>
          <w:b w:val="0"/>
          <w:i w:val="0"/>
          <w:smallCaps w:val="0"/>
          <w:strike w:val="0"/>
          <w:sz w:val="16"/>
          <w:u w:val="none"/>
        </w:rPr>
        <w:t xml:space="preserve">wide. </w:t>
      </w:r>
      <w:r>
        <w:rPr>
          <w:b/>
          <w:i w:val="0"/>
          <w:smallCaps w:val="0"/>
          <w:strike w:val="0"/>
          <w:sz w:val="22"/>
          <w:u w:val="single"/>
        </w:rPr>
        <w:t xml:space="preserve">The initiative, a proposed </w:t>
      </w:r>
      <w:r>
        <w:rPr>
          <w:b/>
          <w:i w:val="0"/>
          <w:smallCaps w:val="0"/>
          <w:strike w:val="0"/>
          <w:sz w:val="22"/>
          <w:u w:val="single"/>
        </w:rPr>
        <w:t>action plan</w:t>
      </w:r>
      <w:r>
        <w:rPr>
          <w:b/>
          <w:i w:val="0"/>
          <w:smallCaps w:val="0"/>
          <w:strike w:val="0"/>
          <w:sz w:val="22"/>
          <w:u w:val="single"/>
        </w:rPr>
        <w:t xml:space="preserve">, aims to (i) </w:t>
      </w:r>
      <w:r>
        <w:rPr>
          <w:b/>
          <w:i w:val="0"/>
          <w:smallCaps w:val="0"/>
          <w:strike w:val="0"/>
          <w:sz w:val="22"/>
          <w:highlight w:val="cyan"/>
          <w:u w:val="single"/>
        </w:rPr>
        <w:t>upgrade</w:t>
      </w:r>
      <w:r>
        <w:rPr>
          <w:b/>
          <w:i w:val="0"/>
          <w:smallCaps w:val="0"/>
          <w:strike w:val="0"/>
          <w:sz w:val="22"/>
          <w:u w:val="single"/>
        </w:rPr>
        <w:t xml:space="preserve"> the EU’s </w:t>
      </w:r>
      <w:r>
        <w:rPr>
          <w:b/>
          <w:i w:val="0"/>
          <w:smallCaps w:val="0"/>
          <w:strike w:val="0"/>
          <w:sz w:val="22"/>
          <w:highlight w:val="cyan"/>
          <w:u w:val="single"/>
        </w:rPr>
        <w:t>i</w:t>
      </w:r>
      <w:r>
        <w:rPr>
          <w:b w:val="0"/>
          <w:i w:val="0"/>
          <w:smallCaps w:val="0"/>
          <w:strike w:val="0"/>
          <w:sz w:val="16"/>
          <w:u w:val="none"/>
        </w:rPr>
        <w:t xml:space="preserve">ntellectual </w:t>
      </w:r>
      <w:r>
        <w:rPr>
          <w:b/>
          <w:i w:val="0"/>
          <w:smallCaps w:val="0"/>
          <w:strike w:val="0"/>
          <w:sz w:val="22"/>
          <w:highlight w:val="cyan"/>
          <w:u w:val="single"/>
        </w:rPr>
        <w:t>p</w:t>
      </w:r>
      <w:r>
        <w:rPr>
          <w:b w:val="0"/>
          <w:i w:val="0"/>
          <w:smallCaps w:val="0"/>
          <w:strike w:val="0"/>
          <w:sz w:val="16"/>
          <w:u w:val="none"/>
        </w:rPr>
        <w:t xml:space="preserve">roperty </w:t>
      </w:r>
      <w:r>
        <w:rPr>
          <w:b/>
          <w:i w:val="0"/>
          <w:smallCaps w:val="0"/>
          <w:strike w:val="0"/>
          <w:sz w:val="22"/>
          <w:highlight w:val="cyan"/>
          <w:u w:val="single"/>
        </w:rPr>
        <w:t>system</w:t>
      </w:r>
      <w:r>
        <w:rPr>
          <w:b/>
          <w:i w:val="0"/>
          <w:smallCaps w:val="0"/>
          <w:strike w:val="0"/>
          <w:sz w:val="22"/>
          <w:u w:val="single"/>
        </w:rPr>
        <w:t xml:space="preserve">; (ii) </w:t>
      </w:r>
      <w:r>
        <w:rPr>
          <w:b/>
          <w:i w:val="0"/>
          <w:smallCaps w:val="0"/>
          <w:strike w:val="0"/>
          <w:sz w:val="22"/>
          <w:highlight w:val="cyan"/>
          <w:u w:val="single"/>
        </w:rPr>
        <w:t>promote</w:t>
      </w:r>
      <w:r>
        <w:rPr>
          <w:b/>
          <w:i w:val="0"/>
          <w:smallCaps w:val="0"/>
          <w:strike w:val="0"/>
          <w:sz w:val="22"/>
          <w:u w:val="single"/>
        </w:rPr>
        <w:t xml:space="preserve"> a </w:t>
      </w:r>
      <w:r>
        <w:rPr>
          <w:b/>
          <w:i w:val="0"/>
          <w:smallCaps w:val="0"/>
          <w:strike w:val="0"/>
          <w:sz w:val="22"/>
          <w:highlight w:val="cyan"/>
          <w:u w:val="single"/>
        </w:rPr>
        <w:t>smart use</w:t>
      </w:r>
      <w:r>
        <w:rPr>
          <w:b/>
          <w:i w:val="0"/>
          <w:smallCaps w:val="0"/>
          <w:strike w:val="0"/>
          <w:sz w:val="22"/>
          <w:u w:val="single"/>
        </w:rPr>
        <w:t xml:space="preserve"> of </w:t>
      </w:r>
      <w:r>
        <w:rPr>
          <w:b/>
          <w:i w:val="0"/>
          <w:smallCaps w:val="0"/>
          <w:strike w:val="0"/>
          <w:sz w:val="22"/>
          <w:u w:val="single"/>
        </w:rPr>
        <w:t>i</w:t>
      </w:r>
      <w:r>
        <w:rPr>
          <w:b w:val="0"/>
          <w:i w:val="0"/>
          <w:smallCaps w:val="0"/>
          <w:strike w:val="0"/>
          <w:sz w:val="16"/>
          <w:u w:val="none"/>
        </w:rPr>
        <w:t xml:space="preserve">ntellectual </w:t>
      </w:r>
      <w:r>
        <w:rPr>
          <w:b/>
          <w:i w:val="0"/>
          <w:smallCaps w:val="0"/>
          <w:strike w:val="0"/>
          <w:sz w:val="22"/>
          <w:u w:val="single"/>
        </w:rPr>
        <w:t>p</w:t>
      </w:r>
      <w:r>
        <w:rPr>
          <w:b/>
          <w:i w:val="0"/>
          <w:smallCaps w:val="0"/>
          <w:strike w:val="0"/>
          <w:sz w:val="16"/>
          <w:u w:val="none"/>
        </w:rPr>
        <w:t xml:space="preserve">roperty; </w:t>
      </w:r>
      <w:r>
        <w:rPr>
          <w:b/>
          <w:i w:val="0"/>
          <w:smallCaps w:val="0"/>
          <w:strike w:val="0"/>
          <w:sz w:val="22"/>
          <w:u w:val="single"/>
        </w:rPr>
        <w:t xml:space="preserve">(iii) </w:t>
      </w:r>
      <w:r>
        <w:rPr>
          <w:b/>
          <w:i w:val="0"/>
          <w:smallCaps w:val="0"/>
          <w:strike w:val="0"/>
          <w:sz w:val="22"/>
          <w:highlight w:val="cyan"/>
          <w:u w:val="single"/>
        </w:rPr>
        <w:t>ensure</w:t>
      </w:r>
      <w:r>
        <w:rPr>
          <w:b/>
          <w:i w:val="0"/>
          <w:smallCaps w:val="0"/>
          <w:strike w:val="0"/>
          <w:sz w:val="22"/>
          <w:u w:val="single"/>
        </w:rPr>
        <w:t xml:space="preserve"> a </w:t>
      </w:r>
      <w:r>
        <w:rPr>
          <w:b/>
          <w:i w:val="0"/>
          <w:smallCaps w:val="0"/>
          <w:strike w:val="0"/>
          <w:sz w:val="22"/>
          <w:highlight w:val="cyan"/>
          <w:u w:val="single"/>
        </w:rPr>
        <w:t xml:space="preserve">more </w:t>
      </w:r>
      <w:r>
        <w:rPr>
          <w:b/>
          <w:i w:val="0"/>
          <w:smallCaps w:val="0"/>
          <w:strike w:val="0"/>
          <w:sz w:val="22"/>
          <w:highlight w:val="cyan"/>
          <w:u w:val="single"/>
        </w:rPr>
        <w:t>effective enforcement</w:t>
      </w:r>
      <w:r>
        <w:rPr>
          <w:b/>
          <w:i w:val="0"/>
          <w:smallCaps w:val="0"/>
          <w:strike w:val="0"/>
          <w:sz w:val="22"/>
          <w:u w:val="single"/>
        </w:rPr>
        <w:t xml:space="preserve"> of </w:t>
      </w:r>
      <w:r>
        <w:rPr>
          <w:b/>
          <w:i w:val="0"/>
          <w:smallCaps w:val="0"/>
          <w:strike w:val="0"/>
          <w:sz w:val="22"/>
          <w:u w:val="single"/>
        </w:rPr>
        <w:t>i</w:t>
      </w:r>
      <w:r>
        <w:rPr>
          <w:b w:val="0"/>
          <w:i w:val="0"/>
          <w:smallCaps w:val="0"/>
          <w:strike w:val="0"/>
          <w:sz w:val="16"/>
          <w:u w:val="none"/>
        </w:rPr>
        <w:t xml:space="preserve">ntellectual </w:t>
      </w:r>
      <w:r>
        <w:rPr>
          <w:b/>
          <w:i w:val="0"/>
          <w:smallCaps w:val="0"/>
          <w:strike w:val="0"/>
          <w:sz w:val="22"/>
          <w:u w:val="single"/>
        </w:rPr>
        <w:t>p</w:t>
      </w:r>
      <w:r>
        <w:rPr>
          <w:b/>
          <w:i w:val="0"/>
          <w:smallCaps w:val="0"/>
          <w:strike w:val="0"/>
          <w:sz w:val="16"/>
          <w:u w:val="single"/>
        </w:rPr>
        <w:t xml:space="preserve">roperty </w:t>
      </w:r>
      <w:r>
        <w:rPr>
          <w:b/>
          <w:i w:val="0"/>
          <w:smallCaps w:val="0"/>
          <w:strike w:val="0"/>
          <w:sz w:val="22"/>
          <w:u w:val="single"/>
        </w:rPr>
        <w:t xml:space="preserve">and (iv) </w:t>
      </w:r>
      <w:r>
        <w:rPr>
          <w:b/>
          <w:i w:val="0"/>
          <w:smallCaps w:val="0"/>
          <w:strike w:val="0"/>
          <w:sz w:val="22"/>
          <w:highlight w:val="cyan"/>
          <w:u w:val="single"/>
        </w:rPr>
        <w:t>promote</w:t>
      </w:r>
      <w:r>
        <w:rPr>
          <w:b/>
          <w:i w:val="0"/>
          <w:smallCaps w:val="0"/>
          <w:strike w:val="0"/>
          <w:sz w:val="22"/>
          <w:u w:val="single"/>
        </w:rPr>
        <w:t xml:space="preserve"> a global </w:t>
      </w:r>
      <w:r>
        <w:rPr>
          <w:b/>
          <w:i w:val="0"/>
          <w:smallCaps w:val="0"/>
          <w:strike w:val="0"/>
          <w:sz w:val="22"/>
          <w:highlight w:val="cyan"/>
          <w:u w:val="single"/>
        </w:rPr>
        <w:t xml:space="preserve">level </w:t>
      </w:r>
      <w:r>
        <w:rPr>
          <w:b/>
          <w:i w:val="0"/>
          <w:smallCaps w:val="0"/>
          <w:strike w:val="0"/>
          <w:sz w:val="22"/>
          <w:highlight w:val="cyan"/>
          <w:u w:val="single"/>
        </w:rPr>
        <w:t>playing field</w:t>
      </w:r>
      <w:r>
        <w:rPr>
          <w:b w:val="0"/>
          <w:i w:val="0"/>
          <w:smallCaps w:val="0"/>
          <w:strike w:val="0"/>
          <w:sz w:val="16"/>
          <w:u w:val="none"/>
        </w:rPr>
        <w:t>. The Commission is seeking feedback from all stakeholders and those who would like to provide comments. The feedback period ends on 14 August 2020.</w:t>
      </w:r>
    </w:p>
    <w:p>
      <w:pPr>
        <w:spacing w:after="60"/>
      </w:pPr>
      <w:r>
        <w:rPr>
          <w:b w:val="0"/>
          <w:i w:val="0"/>
          <w:smallCaps w:val="0"/>
          <w:strike w:val="0"/>
          <w:sz w:val="16"/>
          <w:u w:val="none"/>
        </w:rPr>
        <w:t>The note accompanying the proposed action plan points out that the market value of leading companies is increasingly determined by intangible assets such as brands, designs, inventions, artistic or literary works, know</w:t>
      </w:r>
      <w:r>
        <w:rPr>
          <w:b w:val="0"/>
          <w:i w:val="0"/>
          <w:smallCaps w:val="0"/>
          <w:strike w:val="0"/>
          <w:sz w:val="16"/>
          <w:u w:val="none"/>
        </w:rPr>
        <w:t>‑</w:t>
      </w:r>
      <w:r>
        <w:rPr>
          <w:b w:val="0"/>
          <w:i w:val="0"/>
          <w:smallCaps w:val="0"/>
          <w:strike w:val="0"/>
          <w:sz w:val="16"/>
          <w:u w:val="none"/>
        </w:rPr>
        <w:t>how and data. The proportion of intangible assets in companies’ overall value is said to have risen from a mere 17% in 1975 to 84% in 2015. Intellectual property rights (IPRs), namely, patents, trademarks, designs, geographical indications and copyright, are felt to promote the deployment and diffusion of inventions and creations, adding value to the EU economy. A robust IP policy should aid economic recovery from the crisis following the Covid</w:t>
      </w:r>
      <w:r>
        <w:rPr>
          <w:b w:val="0"/>
          <w:i w:val="0"/>
          <w:smallCaps w:val="0"/>
          <w:strike w:val="0"/>
          <w:sz w:val="16"/>
          <w:u w:val="none"/>
        </w:rPr>
        <w:t>‑</w:t>
      </w:r>
      <w:r>
        <w:rPr>
          <w:b w:val="0"/>
          <w:i w:val="0"/>
          <w:smallCaps w:val="0"/>
          <w:strike w:val="0"/>
          <w:sz w:val="16"/>
          <w:u w:val="none"/>
        </w:rPr>
        <w:t>19 outbreak and, by stimulating technological developments, IP can also play an important role in promoting a greener and digital economy.</w:t>
      </w:r>
    </w:p>
    <w:p>
      <w:pPr>
        <w:spacing w:after="60"/>
      </w:pPr>
      <w:r>
        <w:rPr>
          <w:b w:val="0"/>
          <w:i w:val="0"/>
          <w:smallCaps w:val="0"/>
          <w:strike w:val="0"/>
          <w:sz w:val="16"/>
          <w:u w:val="none"/>
        </w:rPr>
        <w:t>Hong Kong companies doing business in Europe will know that the EU already has a vigorous IP framework. For instance, it is possible to have EU</w:t>
      </w:r>
      <w:r>
        <w:rPr>
          <w:b w:val="0"/>
          <w:i w:val="0"/>
          <w:smallCaps w:val="0"/>
          <w:strike w:val="0"/>
          <w:sz w:val="16"/>
          <w:u w:val="none"/>
        </w:rPr>
        <w:t>‑</w:t>
      </w:r>
      <w:r>
        <w:rPr>
          <w:b w:val="0"/>
          <w:i w:val="0"/>
          <w:smallCaps w:val="0"/>
          <w:strike w:val="0"/>
          <w:sz w:val="16"/>
          <w:u w:val="none"/>
        </w:rPr>
        <w:t xml:space="preserve">wide titles for trademarks, designs and plant varieties. IP civil enforcement procedures as well as trade secret rules have been harmonised. Yet, especially in these more challenging times, </w:t>
      </w:r>
      <w:r>
        <w:rPr>
          <w:b/>
          <w:i w:val="0"/>
          <w:smallCaps w:val="0"/>
          <w:strike w:val="0"/>
          <w:sz w:val="22"/>
          <w:u w:val="single"/>
        </w:rPr>
        <w:t xml:space="preserve">a </w:t>
      </w:r>
      <w:r>
        <w:rPr>
          <w:b/>
          <w:i w:val="0"/>
          <w:smallCaps w:val="0"/>
          <w:strike w:val="0"/>
          <w:sz w:val="22"/>
          <w:highlight w:val="cyan"/>
          <w:u w:val="single"/>
        </w:rPr>
        <w:t xml:space="preserve">more </w:t>
      </w:r>
      <w:r>
        <w:rPr>
          <w:b/>
          <w:i w:val="0"/>
          <w:smallCaps w:val="0"/>
          <w:strike w:val="0"/>
          <w:sz w:val="22"/>
          <w:highlight w:val="cyan"/>
          <w:u w:val="single"/>
        </w:rPr>
        <w:t>strengthened framework</w:t>
      </w:r>
      <w:r>
        <w:rPr>
          <w:b/>
          <w:i w:val="0"/>
          <w:smallCaps w:val="0"/>
          <w:strike w:val="0"/>
          <w:sz w:val="22"/>
          <w:u w:val="single"/>
        </w:rPr>
        <w:t xml:space="preserve"> is proving to be </w:t>
      </w:r>
      <w:r>
        <w:rPr>
          <w:b/>
          <w:i w:val="0"/>
          <w:smallCaps w:val="0"/>
          <w:strike w:val="0"/>
          <w:sz w:val="22"/>
          <w:u w:val="single"/>
        </w:rPr>
        <w:t>necessary</w:t>
      </w:r>
      <w:r>
        <w:rPr>
          <w:b w:val="0"/>
          <w:i w:val="0"/>
          <w:smallCaps w:val="0"/>
          <w:strike w:val="0"/>
          <w:sz w:val="16"/>
          <w:u w:val="none"/>
        </w:rPr>
        <w:t>. The IP action plan aims to propose concrete initiatives to improve the IP framework and the way it is used in practice. The reasons for improvement are multiple:</w:t>
      </w:r>
    </w:p>
    <w:p>
      <w:pPr>
        <w:spacing w:after="60"/>
      </w:pPr>
      <w:r>
        <w:rPr>
          <w:b/>
          <w:i w:val="0"/>
          <w:smallCaps w:val="0"/>
          <w:strike w:val="0"/>
          <w:sz w:val="22"/>
          <w:u w:val="single"/>
        </w:rPr>
        <w:t xml:space="preserve">First, parts of the EU’s </w:t>
      </w:r>
      <w:r>
        <w:rPr>
          <w:b/>
          <w:i w:val="0"/>
          <w:smallCaps w:val="0"/>
          <w:strike w:val="0"/>
          <w:sz w:val="22"/>
          <w:u w:val="single"/>
        </w:rPr>
        <w:t xml:space="preserve">IP </w:t>
      </w:r>
      <w:r>
        <w:rPr>
          <w:b/>
          <w:i w:val="0"/>
          <w:smallCaps w:val="0"/>
          <w:strike w:val="0"/>
          <w:sz w:val="22"/>
          <w:highlight w:val="cyan"/>
          <w:u w:val="single"/>
        </w:rPr>
        <w:t>system</w:t>
      </w:r>
      <w:r>
        <w:rPr>
          <w:b/>
          <w:i w:val="0"/>
          <w:smallCaps w:val="0"/>
          <w:strike w:val="0"/>
          <w:sz w:val="22"/>
          <w:u w:val="single"/>
        </w:rPr>
        <w:t xml:space="preserve"> remain too </w:t>
      </w:r>
      <w:r>
        <w:rPr>
          <w:b/>
          <w:i w:val="0"/>
          <w:smallCaps w:val="0"/>
          <w:strike w:val="0"/>
          <w:sz w:val="22"/>
          <w:highlight w:val="cyan"/>
          <w:u w:val="single"/>
        </w:rPr>
        <w:t>fragmented</w:t>
      </w:r>
      <w:r>
        <w:rPr>
          <w:b/>
          <w:i w:val="0"/>
          <w:smallCaps w:val="0"/>
          <w:strike w:val="0"/>
          <w:sz w:val="22"/>
          <w:u w:val="single"/>
        </w:rPr>
        <w:t xml:space="preserve"> with </w:t>
      </w:r>
      <w:r>
        <w:rPr>
          <w:b/>
          <w:i w:val="0"/>
          <w:smallCaps w:val="0"/>
          <w:strike w:val="0"/>
          <w:sz w:val="22"/>
          <w:highlight w:val="cyan"/>
          <w:u w:val="single"/>
        </w:rPr>
        <w:t>procedures</w:t>
      </w:r>
      <w:r>
        <w:rPr>
          <w:b/>
          <w:i w:val="0"/>
          <w:smallCaps w:val="0"/>
          <w:strike w:val="0"/>
          <w:sz w:val="22"/>
          <w:u w:val="single"/>
        </w:rPr>
        <w:t xml:space="preserve"> that are </w:t>
      </w:r>
      <w:r>
        <w:rPr>
          <w:b/>
          <w:i w:val="0"/>
          <w:smallCaps w:val="0"/>
          <w:strike w:val="0"/>
          <w:sz w:val="22"/>
          <w:highlight w:val="cyan"/>
          <w:u w:val="single"/>
        </w:rPr>
        <w:t xml:space="preserve">too </w:t>
      </w:r>
      <w:r>
        <w:rPr>
          <w:b/>
          <w:i w:val="0"/>
          <w:smallCaps w:val="0"/>
          <w:strike w:val="0"/>
          <w:sz w:val="22"/>
          <w:highlight w:val="cyan"/>
          <w:u w:val="single"/>
        </w:rPr>
        <w:t>complex</w:t>
      </w:r>
      <w:r>
        <w:rPr>
          <w:b/>
          <w:i w:val="0"/>
          <w:smallCaps w:val="0"/>
          <w:strike w:val="0"/>
          <w:sz w:val="22"/>
          <w:highlight w:val="cyan"/>
          <w:u w:val="single"/>
        </w:rPr>
        <w:t xml:space="preserve"> and </w:t>
      </w:r>
      <w:r>
        <w:rPr>
          <w:b/>
          <w:i w:val="0"/>
          <w:smallCaps w:val="0"/>
          <w:strike w:val="0"/>
          <w:sz w:val="22"/>
          <w:highlight w:val="cyan"/>
          <w:u w:val="single"/>
        </w:rPr>
        <w:t>costly</w:t>
      </w:r>
      <w:r>
        <w:rPr>
          <w:b w:val="0"/>
          <w:i w:val="0"/>
          <w:smallCaps w:val="0"/>
          <w:strike w:val="0"/>
          <w:sz w:val="16"/>
          <w:u w:val="none"/>
        </w:rPr>
        <w:t xml:space="preserve">. European patents are </w:t>
      </w:r>
      <w:r>
        <w:rPr>
          <w:b/>
          <w:i w:val="0"/>
          <w:smallCaps w:val="0"/>
          <w:strike w:val="0"/>
          <w:sz w:val="22"/>
          <w:u w:val="single"/>
        </w:rPr>
        <w:t xml:space="preserve">subject to expensive national </w:t>
      </w:r>
      <w:r>
        <w:rPr>
          <w:b/>
          <w:i w:val="0"/>
          <w:smallCaps w:val="0"/>
          <w:strike w:val="0"/>
          <w:sz w:val="22"/>
          <w:highlight w:val="cyan"/>
          <w:u w:val="single"/>
        </w:rPr>
        <w:t>validation procedures</w:t>
      </w:r>
      <w:r>
        <w:rPr>
          <w:b/>
          <w:i w:val="0"/>
          <w:smallCaps w:val="0"/>
          <w:strike w:val="0"/>
          <w:sz w:val="22"/>
          <w:u w:val="single"/>
        </w:rPr>
        <w:t xml:space="preserve"> and </w:t>
      </w:r>
      <w:r>
        <w:rPr>
          <w:b/>
          <w:i w:val="0"/>
          <w:smallCaps w:val="0"/>
          <w:strike w:val="0"/>
          <w:sz w:val="22"/>
          <w:highlight w:val="cyan"/>
          <w:u w:val="single"/>
        </w:rPr>
        <w:t xml:space="preserve">parallel </w:t>
      </w:r>
      <w:r>
        <w:rPr>
          <w:b/>
          <w:i w:val="0"/>
          <w:smallCaps w:val="0"/>
          <w:strike w:val="0"/>
          <w:sz w:val="22"/>
          <w:highlight w:val="cyan"/>
          <w:u w:val="single"/>
        </w:rPr>
        <w:t>litigation</w:t>
      </w:r>
      <w:r>
        <w:rPr>
          <w:b/>
          <w:i w:val="0"/>
          <w:smallCaps w:val="0"/>
          <w:strike w:val="0"/>
          <w:sz w:val="22"/>
          <w:u w:val="single"/>
        </w:rPr>
        <w:t xml:space="preserve"> in multiple </w:t>
      </w:r>
      <w:r>
        <w:rPr>
          <w:b/>
          <w:i w:val="0"/>
          <w:smallCaps w:val="0"/>
          <w:strike w:val="0"/>
          <w:sz w:val="22"/>
          <w:u w:val="single"/>
        </w:rPr>
        <w:t>EU countries</w:t>
      </w:r>
      <w:r>
        <w:rPr>
          <w:b w:val="0"/>
          <w:i w:val="0"/>
          <w:smallCaps w:val="0"/>
          <w:strike w:val="0"/>
          <w:sz w:val="16"/>
          <w:u w:val="none"/>
        </w:rPr>
        <w:t>. Design and geographical indication (GI) protection remain too cumbersome. More clarity is required as regards the protection of new forms of designs; the implications of 3D printing, and the protection of inventions generated or implemented using artificial intelligence (AI).</w:t>
      </w:r>
    </w:p>
    <w:p>
      <w:pPr>
        <w:spacing w:after="60"/>
      </w:pPr>
      <w:r>
        <w:rPr>
          <w:b/>
          <w:i w:val="0"/>
          <w:smallCaps w:val="0"/>
          <w:strike w:val="0"/>
          <w:sz w:val="22"/>
          <w:u w:val="single"/>
        </w:rPr>
        <w:t xml:space="preserve">Second, the </w:t>
      </w:r>
      <w:r>
        <w:rPr>
          <w:b/>
          <w:i w:val="0"/>
          <w:smallCaps w:val="0"/>
          <w:strike w:val="0"/>
          <w:sz w:val="22"/>
          <w:highlight w:val="cyan"/>
          <w:u w:val="single"/>
        </w:rPr>
        <w:t>uptake</w:t>
      </w:r>
      <w:r>
        <w:rPr>
          <w:b/>
          <w:i w:val="0"/>
          <w:smallCaps w:val="0"/>
          <w:strike w:val="0"/>
          <w:sz w:val="22"/>
          <w:u w:val="single"/>
        </w:rPr>
        <w:t xml:space="preserve"> of IP in particular by </w:t>
      </w:r>
      <w:r>
        <w:rPr>
          <w:b/>
          <w:i w:val="0"/>
          <w:smallCaps w:val="0"/>
          <w:strike w:val="0"/>
          <w:sz w:val="22"/>
          <w:u w:val="single"/>
        </w:rPr>
        <w:t>SMEs</w:t>
      </w:r>
      <w:r>
        <w:rPr>
          <w:b/>
          <w:i w:val="0"/>
          <w:smallCaps w:val="0"/>
          <w:strike w:val="0"/>
          <w:sz w:val="22"/>
          <w:u w:val="single"/>
        </w:rPr>
        <w:t xml:space="preserve"> and </w:t>
      </w:r>
      <w:r>
        <w:rPr>
          <w:b/>
          <w:i w:val="0"/>
          <w:smallCaps w:val="0"/>
          <w:strike w:val="0"/>
          <w:sz w:val="22"/>
          <w:u w:val="single"/>
        </w:rPr>
        <w:t>research</w:t>
      </w:r>
      <w:r>
        <w:rPr>
          <w:b/>
          <w:i w:val="0"/>
          <w:smallCaps w:val="0"/>
          <w:strike w:val="0"/>
          <w:sz w:val="22"/>
          <w:u w:val="single"/>
        </w:rPr>
        <w:t xml:space="preserve"> centres is still </w:t>
      </w:r>
      <w:r>
        <w:rPr>
          <w:b/>
          <w:i w:val="0"/>
          <w:smallCaps w:val="0"/>
          <w:strike w:val="0"/>
          <w:sz w:val="22"/>
          <w:highlight w:val="cyan"/>
          <w:u w:val="single"/>
        </w:rPr>
        <w:t>limited</w:t>
      </w:r>
      <w:r>
        <w:rPr>
          <w:b w:val="0"/>
          <w:i w:val="0"/>
          <w:smallCaps w:val="0"/>
          <w:strike w:val="0"/>
          <w:sz w:val="16"/>
          <w:u w:val="none"/>
        </w:rPr>
        <w:t>. Only 9% of EU SMEs have registered IP rights compared to 36% of larger companies. In the current crisis, IP registration numbers have further dropped, to the detriment of their competitiveness and resilience. Recent analysis shows that SMEs’ reluctance to use IP rights is largely due to lack of knowledge about IP. Even if they do use IP rights, they find the system too costly, complex and difficult to navigate.</w:t>
      </w:r>
    </w:p>
    <w:p>
      <w:pPr>
        <w:spacing w:after="60"/>
      </w:pPr>
      <w:r>
        <w:rPr>
          <w:b/>
          <w:i w:val="0"/>
          <w:smallCaps w:val="0"/>
          <w:strike w:val="0"/>
          <w:sz w:val="22"/>
          <w:u w:val="single"/>
        </w:rPr>
        <w:t xml:space="preserve">Third, </w:t>
      </w:r>
      <w:r>
        <w:rPr>
          <w:b/>
          <w:i w:val="0"/>
          <w:smallCaps w:val="0"/>
          <w:strike w:val="0"/>
          <w:sz w:val="22"/>
          <w:highlight w:val="cyan"/>
          <w:u w:val="single"/>
        </w:rPr>
        <w:t xml:space="preserve">tools to </w:t>
      </w:r>
      <w:r>
        <w:rPr>
          <w:b/>
          <w:i w:val="0"/>
          <w:smallCaps w:val="0"/>
          <w:strike w:val="0"/>
          <w:sz w:val="22"/>
          <w:highlight w:val="cyan"/>
          <w:u w:val="single"/>
        </w:rPr>
        <w:t>share out</w:t>
      </w:r>
      <w:r>
        <w:rPr>
          <w:b/>
          <w:i w:val="0"/>
          <w:smallCaps w:val="0"/>
          <w:strike w:val="0"/>
          <w:sz w:val="22"/>
          <w:highlight w:val="cyan"/>
          <w:u w:val="single"/>
        </w:rPr>
        <w:t xml:space="preserve"> IP</w:t>
      </w:r>
      <w:r>
        <w:rPr>
          <w:b/>
          <w:i w:val="0"/>
          <w:smallCaps w:val="0"/>
          <w:strike w:val="0"/>
          <w:sz w:val="22"/>
          <w:u w:val="single"/>
        </w:rPr>
        <w:t xml:space="preserve"> are </w:t>
      </w:r>
      <w:r>
        <w:rPr>
          <w:b/>
          <w:i w:val="0"/>
          <w:smallCaps w:val="0"/>
          <w:strike w:val="0"/>
          <w:sz w:val="22"/>
          <w:highlight w:val="cyan"/>
          <w:u w:val="single"/>
        </w:rPr>
        <w:t>insufficiently developed</w:t>
      </w:r>
      <w:r>
        <w:rPr>
          <w:b w:val="0"/>
          <w:i w:val="0"/>
          <w:smallCaps w:val="0"/>
          <w:strike w:val="0"/>
          <w:sz w:val="16"/>
          <w:u w:val="none"/>
        </w:rPr>
        <w:t>. For instance, the licensing of standard-essential patents (SEPs) remains a risky and costly exercise for patent holders and implementers.</w:t>
      </w:r>
    </w:p>
    <w:p>
      <w:pPr>
        <w:spacing w:after="60"/>
      </w:pPr>
      <w:r>
        <w:rPr>
          <w:b w:val="0"/>
          <w:i w:val="0"/>
          <w:smallCaps w:val="0"/>
          <w:strike w:val="0"/>
          <w:sz w:val="16"/>
          <w:u w:val="none"/>
        </w:rPr>
        <w:t>Fourth, in spite of existing efforts, there is still, it is felt, an unacceptable and high level of counterfeiting and piracy, while cybertheft is posing new challenges. Imports of counterfeit and pirated goods into the EU amount to as much as € 121 billion, representing up to 6.8% of EU imports (against 5% of EU imports in 2013). These also constitute serious health, safety and security threats to consumers, and negatively affect public revenues and the environment.</w:t>
      </w:r>
    </w:p>
    <w:p>
      <w:pPr>
        <w:spacing w:after="60"/>
      </w:pPr>
      <w:r>
        <w:rPr>
          <w:b/>
          <w:i w:val="0"/>
          <w:smallCaps w:val="0"/>
          <w:strike w:val="0"/>
          <w:sz w:val="22"/>
          <w:u w:val="single"/>
        </w:rPr>
        <w:t xml:space="preserve">Fifthly, there is </w:t>
      </w:r>
      <w:r>
        <w:rPr>
          <w:b/>
          <w:i w:val="0"/>
          <w:smallCaps w:val="0"/>
          <w:strike w:val="0"/>
          <w:sz w:val="22"/>
          <w:u w:val="single"/>
        </w:rPr>
        <w:t>deemed</w:t>
      </w:r>
      <w:r>
        <w:rPr>
          <w:b/>
          <w:i w:val="0"/>
          <w:smallCaps w:val="0"/>
          <w:strike w:val="0"/>
          <w:sz w:val="22"/>
          <w:u w:val="single"/>
        </w:rPr>
        <w:t xml:space="preserve"> to be a </w:t>
      </w:r>
      <w:r>
        <w:rPr>
          <w:b/>
          <w:i w:val="0"/>
          <w:smallCaps w:val="0"/>
          <w:strike w:val="0"/>
          <w:sz w:val="22"/>
          <w:highlight w:val="cyan"/>
          <w:u w:val="single"/>
        </w:rPr>
        <w:t xml:space="preserve">lack of </w:t>
      </w:r>
      <w:r>
        <w:rPr>
          <w:b/>
          <w:i w:val="0"/>
          <w:smallCaps w:val="0"/>
          <w:strike w:val="0"/>
          <w:sz w:val="22"/>
          <w:highlight w:val="cyan"/>
          <w:u w:val="single"/>
        </w:rPr>
        <w:t>global fair play</w:t>
      </w:r>
      <w:r>
        <w:rPr>
          <w:b w:val="0"/>
          <w:i w:val="0"/>
          <w:smallCaps w:val="0"/>
          <w:strike w:val="0"/>
          <w:sz w:val="16"/>
          <w:u w:val="none"/>
        </w:rPr>
        <w:t>, with EU businesses frequently losing out when dealing abroad, because non-EU countries either do not sufficiently protect IP or apply divergent standards.</w:t>
      </w:r>
    </w:p>
    <w:p>
      <w:pPr>
        <w:spacing w:after="60"/>
      </w:pPr>
      <w:r>
        <w:rPr>
          <w:b w:val="0"/>
          <w:i w:val="0"/>
          <w:smallCaps w:val="0"/>
          <w:strike w:val="0"/>
          <w:sz w:val="16"/>
          <w:u w:val="none"/>
        </w:rPr>
        <w:t>T</w:t>
      </w:r>
      <w:r>
        <w:rPr>
          <w:b/>
          <w:i w:val="0"/>
          <w:smallCaps w:val="0"/>
          <w:strike w:val="0"/>
          <w:sz w:val="22"/>
          <w:u w:val="single"/>
        </w:rPr>
        <w:t xml:space="preserve">he action plan is intended to </w:t>
      </w:r>
      <w:r>
        <w:rPr>
          <w:b/>
          <w:i w:val="0"/>
          <w:smallCaps w:val="0"/>
          <w:strike w:val="0"/>
          <w:sz w:val="22"/>
          <w:highlight w:val="cyan"/>
          <w:u w:val="single"/>
        </w:rPr>
        <w:t>promote</w:t>
      </w:r>
      <w:r>
        <w:rPr>
          <w:b/>
          <w:i w:val="0"/>
          <w:smallCaps w:val="0"/>
          <w:strike w:val="0"/>
          <w:sz w:val="22"/>
          <w:u w:val="single"/>
        </w:rPr>
        <w:t xml:space="preserve"> a coherent </w:t>
      </w:r>
      <w:r>
        <w:rPr>
          <w:b/>
          <w:i w:val="0"/>
          <w:smallCaps w:val="0"/>
          <w:strike w:val="0"/>
          <w:sz w:val="22"/>
          <w:highlight w:val="cyan"/>
          <w:u w:val="single"/>
        </w:rPr>
        <w:t>EU</w:t>
      </w:r>
      <w:r>
        <w:rPr>
          <w:b/>
          <w:i w:val="0"/>
          <w:smallCaps w:val="0"/>
          <w:strike w:val="0"/>
          <w:sz w:val="22"/>
          <w:highlight w:val="cyan"/>
          <w:u w:val="single"/>
        </w:rPr>
        <w:t>‑</w:t>
      </w:r>
      <w:r>
        <w:rPr>
          <w:b/>
          <w:i w:val="0"/>
          <w:smallCaps w:val="0"/>
          <w:strike w:val="0"/>
          <w:sz w:val="22"/>
          <w:highlight w:val="cyan"/>
          <w:u w:val="single"/>
        </w:rPr>
        <w:t xml:space="preserve">wide </w:t>
      </w:r>
      <w:r>
        <w:rPr>
          <w:b/>
          <w:i w:val="0"/>
          <w:smallCaps w:val="0"/>
          <w:strike w:val="0"/>
          <w:sz w:val="22"/>
          <w:highlight w:val="cyan"/>
          <w:u w:val="single"/>
        </w:rPr>
        <w:t>approach</w:t>
      </w:r>
      <w:r>
        <w:rPr>
          <w:b/>
          <w:i w:val="0"/>
          <w:smallCaps w:val="0"/>
          <w:strike w:val="0"/>
          <w:sz w:val="22"/>
          <w:highlight w:val="cyan"/>
          <w:u w:val="single"/>
        </w:rPr>
        <w:t xml:space="preserve"> to </w:t>
      </w:r>
      <w:r>
        <w:rPr>
          <w:b/>
          <w:i w:val="0"/>
          <w:smallCaps w:val="0"/>
          <w:strike w:val="0"/>
          <w:sz w:val="22"/>
          <w:highlight w:val="cyan"/>
          <w:u w:val="single"/>
        </w:rPr>
        <w:t>IP policies</w:t>
      </w:r>
      <w:r>
        <w:rPr>
          <w:b/>
          <w:i w:val="0"/>
          <w:smallCaps w:val="0"/>
          <w:strike w:val="0"/>
          <w:sz w:val="22"/>
          <w:u w:val="single"/>
        </w:rPr>
        <w:t xml:space="preserve"> and will be the basis for </w:t>
      </w:r>
      <w:r>
        <w:rPr>
          <w:b/>
          <w:i w:val="0"/>
          <w:smallCaps w:val="0"/>
          <w:strike w:val="0"/>
          <w:sz w:val="22"/>
          <w:u w:val="single"/>
        </w:rPr>
        <w:t>further initiatives</w:t>
      </w:r>
      <w:r>
        <w:rPr>
          <w:b/>
          <w:i w:val="0"/>
          <w:smallCaps w:val="0"/>
          <w:strike w:val="0"/>
          <w:sz w:val="22"/>
          <w:u w:val="single"/>
        </w:rPr>
        <w:t xml:space="preserve"> to be taken at EU level, both legislative and non</w:t>
      </w:r>
      <w:r>
        <w:rPr>
          <w:b/>
          <w:i w:val="0"/>
          <w:smallCaps w:val="0"/>
          <w:strike w:val="0"/>
          <w:sz w:val="22"/>
          <w:u w:val="single"/>
        </w:rPr>
        <w:t>‑</w:t>
      </w:r>
      <w:r>
        <w:rPr>
          <w:b/>
          <w:i w:val="0"/>
          <w:smallCaps w:val="0"/>
          <w:strike w:val="0"/>
          <w:sz w:val="22"/>
          <w:u w:val="single"/>
        </w:rPr>
        <w:t>legislative</w:t>
      </w:r>
      <w:r>
        <w:rPr>
          <w:b w:val="0"/>
          <w:i w:val="0"/>
          <w:smallCaps w:val="0"/>
          <w:strike w:val="0"/>
          <w:sz w:val="16"/>
          <w:u w:val="none"/>
        </w:rPr>
        <w:t>. The action plan will focus on the need to align EU initiatives with measures taken at national level.</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