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single"/>
        </w:rPr>
        <w:t>ADMINISTRATIVE PROBLEMS</w:t>
      </w:r>
      <w:r>
        <w:rPr>
          <w:b/>
          <w:i w:val="0"/>
          <w:smallCaps w:val="0"/>
          <w:strike w:val="0"/>
          <w:sz w:val="26"/>
          <w:u w:val="none"/>
        </w:rPr>
        <w:t>.</w:t>
      </w:r>
    </w:p>
    <w:p>
      <w:pPr>
        <w:spacing w:after="80"/>
      </w:pPr>
      <w:r>
        <w:rPr>
          <w:b/>
          <w:i w:val="0"/>
          <w:smallCaps w:val="0"/>
          <w:strike w:val="0"/>
          <w:sz w:val="26"/>
          <w:u w:val="none"/>
        </w:rPr>
        <w:t>Masur ’15</w:t>
      </w:r>
      <w:r>
        <w:rPr>
          <w:b w:val="0"/>
          <w:i w:val="0"/>
          <w:smallCaps w:val="0"/>
          <w:strike w:val="0"/>
          <w:u w:val="none"/>
        </w:rPr>
        <w:t xml:space="preserve"> [Jonathan and Eric Posner; February; </w:t>
      </w:r>
      <w:r>
        <w:rPr>
          <w:b w:val="0"/>
          <w:i w:val="0"/>
          <w:smallCaps w:val="0"/>
          <w:strike w:val="0"/>
          <w:u w:val="none"/>
        </w:rPr>
        <w:t>John P. Wilson Professor of Law at the University of Chicago Law School</w:t>
      </w:r>
      <w:r>
        <w:rPr>
          <w:b w:val="0"/>
          <w:i w:val="0"/>
          <w:smallCaps w:val="0"/>
          <w:strike w:val="0"/>
          <w:u w:val="none"/>
        </w:rPr>
        <w:t>;</w:t>
      </w:r>
      <w:r>
        <w:rPr>
          <w:b w:val="0"/>
          <w:i w:val="0"/>
          <w:smallCaps w:val="0"/>
          <w:strike w:val="0"/>
          <w:u w:val="none"/>
        </w:rPr>
        <w:t xml:space="preserve"> law professor at the University of Chicago Law School</w:t>
      </w:r>
      <w:r>
        <w:rPr>
          <w:b w:val="0"/>
          <w:i w:val="0"/>
          <w:smallCaps w:val="0"/>
          <w:strike w:val="0"/>
          <w:u w:val="none"/>
        </w:rPr>
        <w:t>; University of Chicago Law School, “</w:t>
      </w:r>
      <w:r>
        <w:rPr>
          <w:b w:val="0"/>
          <w:i w:val="0"/>
          <w:smallCaps w:val="0"/>
          <w:strike w:val="0"/>
          <w:u w:val="none"/>
        </w:rPr>
        <w:t>Toward a Pigouvian State</w:t>
      </w:r>
      <w:r>
        <w:rPr>
          <w:b w:val="0"/>
          <w:i w:val="0"/>
          <w:smallCaps w:val="0"/>
          <w:strike w:val="0"/>
          <w:u w:val="none"/>
        </w:rPr>
        <w:t>,” no. 503] jchen</w:t>
      </w:r>
    </w:p>
    <w:p>
      <w:pPr>
        <w:spacing w:after="60"/>
      </w:pPr>
      <w:r>
        <w:rPr>
          <w:b w:val="0"/>
          <w:i w:val="0"/>
          <w:smallCaps w:val="0"/>
          <w:strike w:val="0"/>
          <w:sz w:val="16"/>
          <w:u w:val="none"/>
        </w:rPr>
        <w:t xml:space="preserve">One concern about </w:t>
      </w:r>
      <w:r>
        <w:rPr>
          <w:b/>
          <w:i w:val="0"/>
          <w:smallCaps w:val="0"/>
          <w:strike w:val="0"/>
          <w:sz w:val="22"/>
          <w:highlight w:val="cyan"/>
          <w:u w:val="single"/>
        </w:rPr>
        <w:t>Pigovian</w:t>
      </w:r>
      <w:r>
        <w:rPr>
          <w:b/>
          <w:i w:val="0"/>
          <w:smallCaps w:val="0"/>
          <w:strike w:val="0"/>
          <w:sz w:val="22"/>
          <w:highlight w:val="cyan"/>
          <w:u w:val="single"/>
        </w:rPr>
        <w:t xml:space="preserve"> taxes</w:t>
      </w:r>
      <w:r>
        <w:rPr>
          <w:b w:val="0"/>
          <w:i w:val="0"/>
          <w:smallCaps w:val="0"/>
          <w:strike w:val="0"/>
          <w:sz w:val="16"/>
          <w:u w:val="none"/>
        </w:rPr>
        <w:t xml:space="preserve"> is that they may be </w:t>
      </w:r>
      <w:r>
        <w:rPr>
          <w:b/>
          <w:i w:val="0"/>
          <w:smallCaps w:val="0"/>
          <w:strike w:val="0"/>
          <w:sz w:val="22"/>
          <w:highlight w:val="cyan"/>
          <w:u w:val="single"/>
        </w:rPr>
        <w:t xml:space="preserve">difficult to </w:t>
      </w:r>
      <w:r>
        <w:rPr>
          <w:b/>
          <w:i w:val="0"/>
          <w:smallCaps w:val="0"/>
          <w:strike w:val="0"/>
          <w:sz w:val="22"/>
          <w:highlight w:val="cyan"/>
          <w:u w:val="single"/>
        </w:rPr>
        <w:t>administer</w:t>
      </w:r>
      <w:r>
        <w:rPr>
          <w:b w:val="0"/>
          <w:i w:val="0"/>
          <w:smallCaps w:val="0"/>
          <w:strike w:val="0"/>
          <w:sz w:val="16"/>
          <w:u w:val="none"/>
        </w:rPr>
        <w:t xml:space="preserve">. If the </w:t>
      </w:r>
      <w:r>
        <w:rPr>
          <w:b/>
          <w:i w:val="0"/>
          <w:smallCaps w:val="0"/>
          <w:strike w:val="0"/>
          <w:sz w:val="22"/>
          <w:u w:val="single"/>
        </w:rPr>
        <w:t>regulator cannot</w:t>
      </w:r>
      <w:r>
        <w:rPr>
          <w:b w:val="0"/>
          <w:i w:val="0"/>
          <w:smallCaps w:val="0"/>
          <w:strike w:val="0"/>
          <w:sz w:val="16"/>
          <w:u w:val="none"/>
        </w:rPr>
        <w:t xml:space="preserve"> </w:t>
      </w:r>
      <w:r>
        <w:rPr>
          <w:b/>
          <w:i w:val="0"/>
          <w:smallCaps w:val="0"/>
          <w:strike w:val="0"/>
          <w:sz w:val="22"/>
          <w:u w:val="single"/>
        </w:rPr>
        <w:t xml:space="preserve">reliably </w:t>
      </w:r>
      <w:r>
        <w:rPr>
          <w:b/>
          <w:i w:val="0"/>
          <w:smallCaps w:val="0"/>
          <w:strike w:val="0"/>
          <w:sz w:val="22"/>
          <w:u w:val="single"/>
        </w:rPr>
        <w:t>determine</w:t>
      </w:r>
      <w:r>
        <w:rPr>
          <w:b/>
          <w:i w:val="0"/>
          <w:smallCaps w:val="0"/>
          <w:strike w:val="0"/>
          <w:sz w:val="22"/>
          <w:u w:val="single"/>
        </w:rPr>
        <w:t xml:space="preserve"> the social cost of an activity</w:t>
      </w:r>
      <w:r>
        <w:rPr>
          <w:b w:val="0"/>
          <w:i w:val="0"/>
          <w:smallCaps w:val="0"/>
          <w:strike w:val="0"/>
          <w:sz w:val="16"/>
          <w:u w:val="none"/>
        </w:rPr>
        <w:t xml:space="preserve">, it </w:t>
      </w:r>
      <w:r>
        <w:rPr>
          <w:b/>
          <w:i w:val="0"/>
          <w:smallCaps w:val="0"/>
          <w:strike w:val="0"/>
          <w:sz w:val="22"/>
          <w:highlight w:val="cyan"/>
          <w:u w:val="single"/>
        </w:rPr>
        <w:t xml:space="preserve">cannot </w:t>
      </w:r>
      <w:r>
        <w:rPr>
          <w:b/>
          <w:i w:val="0"/>
          <w:smallCaps w:val="0"/>
          <w:strike w:val="0"/>
          <w:sz w:val="22"/>
          <w:highlight w:val="cyan"/>
          <w:u w:val="single"/>
        </w:rPr>
        <w:t>calculate</w:t>
      </w:r>
      <w:r>
        <w:rPr>
          <w:b/>
          <w:i w:val="0"/>
          <w:smallCaps w:val="0"/>
          <w:strike w:val="0"/>
          <w:sz w:val="22"/>
          <w:u w:val="single"/>
        </w:rPr>
        <w:t xml:space="preserve"> the </w:t>
      </w:r>
      <w:r>
        <w:rPr>
          <w:b/>
          <w:i w:val="0"/>
          <w:smallCaps w:val="0"/>
          <w:strike w:val="0"/>
          <w:sz w:val="22"/>
          <w:highlight w:val="cyan"/>
          <w:u w:val="single"/>
        </w:rPr>
        <w:t>optimal</w:t>
      </w:r>
      <w:r>
        <w:rPr>
          <w:b/>
          <w:i w:val="0"/>
          <w:smallCaps w:val="0"/>
          <w:strike w:val="0"/>
          <w:sz w:val="22"/>
          <w:u w:val="single"/>
        </w:rPr>
        <w:t xml:space="preserve"> Pigovian </w:t>
      </w:r>
      <w:r>
        <w:rPr>
          <w:b/>
          <w:i w:val="0"/>
          <w:smallCaps w:val="0"/>
          <w:strike w:val="0"/>
          <w:sz w:val="22"/>
          <w:highlight w:val="cyan"/>
          <w:u w:val="single"/>
        </w:rPr>
        <w:t>tax</w:t>
      </w:r>
      <w:r>
        <w:rPr>
          <w:b w:val="0"/>
          <w:i w:val="0"/>
          <w:smallCaps w:val="0"/>
          <w:strike w:val="0"/>
          <w:sz w:val="16"/>
          <w:u w:val="none"/>
        </w:rPr>
        <w:t xml:space="preserve">. This problem would of course affect Pigovian taxes whether imposed by statute or regulation. Economists have discussed these issues for decades and the consensus appears to be that administrative problems are generally manageable.155 In a recent paper, Victor Fleischer argues that </w:t>
      </w:r>
      <w:r>
        <w:rPr>
          <w:b/>
          <w:i w:val="0"/>
          <w:smallCaps w:val="0"/>
          <w:strike w:val="0"/>
          <w:sz w:val="22"/>
          <w:u w:val="single"/>
        </w:rPr>
        <w:t>Pigovian taxes are</w:t>
      </w:r>
      <w:r>
        <w:rPr>
          <w:b w:val="0"/>
          <w:i w:val="0"/>
          <w:smallCaps w:val="0"/>
          <w:strike w:val="0"/>
          <w:sz w:val="16"/>
          <w:u w:val="none"/>
        </w:rPr>
        <w:t xml:space="preserve"> frequently </w:t>
      </w:r>
      <w:r>
        <w:rPr>
          <w:b/>
          <w:i w:val="0"/>
          <w:smallCaps w:val="0"/>
          <w:strike w:val="0"/>
          <w:sz w:val="22"/>
          <w:highlight w:val="cyan"/>
          <w:u w:val="single"/>
        </w:rPr>
        <w:t>inefficient</w:t>
      </w:r>
      <w:r>
        <w:rPr>
          <w:b/>
          <w:i w:val="0"/>
          <w:smallCaps w:val="0"/>
          <w:strike w:val="0"/>
          <w:sz w:val="22"/>
          <w:u w:val="single"/>
        </w:rPr>
        <w:t xml:space="preserve"> because they are</w:t>
      </w:r>
      <w:r>
        <w:rPr>
          <w:b w:val="0"/>
          <w:i w:val="0"/>
          <w:smallCaps w:val="0"/>
          <w:strike w:val="0"/>
          <w:sz w:val="16"/>
          <w:u w:val="none"/>
        </w:rPr>
        <w:t xml:space="preserve"> typically </w:t>
      </w:r>
      <w:r>
        <w:rPr>
          <w:b/>
          <w:i w:val="0"/>
          <w:smallCaps w:val="0"/>
          <w:strike w:val="0"/>
          <w:sz w:val="22"/>
          <w:highlight w:val="cyan"/>
          <w:u w:val="single"/>
        </w:rPr>
        <w:t>calculated</w:t>
      </w:r>
      <w:r>
        <w:rPr>
          <w:b/>
          <w:i w:val="0"/>
          <w:smallCaps w:val="0"/>
          <w:strike w:val="0"/>
          <w:sz w:val="22"/>
          <w:u w:val="single"/>
        </w:rPr>
        <w:t xml:space="preserve"> based </w:t>
      </w:r>
      <w:r>
        <w:rPr>
          <w:b/>
          <w:i w:val="0"/>
          <w:smallCaps w:val="0"/>
          <w:strike w:val="0"/>
          <w:sz w:val="22"/>
          <w:highlight w:val="cyan"/>
          <w:u w:val="single"/>
        </w:rPr>
        <w:t xml:space="preserve">on an </w:t>
      </w:r>
      <w:r>
        <w:rPr>
          <w:b/>
          <w:i w:val="0"/>
          <w:smallCaps w:val="0"/>
          <w:strike w:val="0"/>
          <w:sz w:val="22"/>
          <w:highlight w:val="cyan"/>
          <w:u w:val="single"/>
        </w:rPr>
        <w:t>assumption</w:t>
      </w:r>
      <w:r>
        <w:rPr>
          <w:b/>
          <w:i w:val="0"/>
          <w:smallCaps w:val="0"/>
          <w:strike w:val="0"/>
          <w:sz w:val="22"/>
          <w:highlight w:val="cyan"/>
          <w:u w:val="single"/>
        </w:rPr>
        <w:t xml:space="preserve"> of uniform</w:t>
      </w:r>
      <w:r>
        <w:rPr>
          <w:b/>
          <w:i w:val="0"/>
          <w:smallCaps w:val="0"/>
          <w:strike w:val="0"/>
          <w:sz w:val="22"/>
          <w:u w:val="single"/>
        </w:rPr>
        <w:t xml:space="preserve"> marginal</w:t>
      </w:r>
      <w:r>
        <w:rPr>
          <w:b w:val="0"/>
          <w:i w:val="0"/>
          <w:smallCaps w:val="0"/>
          <w:strike w:val="0"/>
          <w:sz w:val="16"/>
          <w:u w:val="none"/>
        </w:rPr>
        <w:t xml:space="preserve"> </w:t>
      </w:r>
      <w:r>
        <w:rPr>
          <w:b/>
          <w:i w:val="0"/>
          <w:smallCaps w:val="0"/>
          <w:strike w:val="0"/>
          <w:sz w:val="22"/>
          <w:u w:val="single"/>
        </w:rPr>
        <w:t xml:space="preserve">social </w:t>
      </w:r>
      <w:r>
        <w:rPr>
          <w:b/>
          <w:i w:val="0"/>
          <w:smallCaps w:val="0"/>
          <w:strike w:val="0"/>
          <w:sz w:val="22"/>
          <w:highlight w:val="cyan"/>
          <w:u w:val="single"/>
        </w:rPr>
        <w:t>cost when</w:t>
      </w:r>
      <w:r>
        <w:rPr>
          <w:b w:val="0"/>
          <w:i w:val="0"/>
          <w:smallCaps w:val="0"/>
          <w:strike w:val="0"/>
          <w:sz w:val="16"/>
          <w:u w:val="none"/>
        </w:rPr>
        <w:t xml:space="preserve"> in fact the </w:t>
      </w:r>
      <w:r>
        <w:rPr>
          <w:b/>
          <w:i w:val="0"/>
          <w:smallCaps w:val="0"/>
          <w:strike w:val="0"/>
          <w:sz w:val="22"/>
          <w:highlight w:val="cyan"/>
          <w:u w:val="single"/>
        </w:rPr>
        <w:t>social cost</w:t>
      </w:r>
      <w:r>
        <w:rPr>
          <w:b w:val="0"/>
          <w:i w:val="0"/>
          <w:smallCaps w:val="0"/>
          <w:strike w:val="0"/>
          <w:sz w:val="16"/>
          <w:u w:val="none"/>
        </w:rPr>
        <w:t xml:space="preserve"> of an activity often </w:t>
      </w:r>
      <w:r>
        <w:rPr>
          <w:b/>
          <w:i w:val="0"/>
          <w:smallCaps w:val="0"/>
          <w:strike w:val="0"/>
          <w:sz w:val="22"/>
          <w:highlight w:val="cyan"/>
          <w:u w:val="single"/>
        </w:rPr>
        <w:t>varies</w:t>
      </w:r>
      <w:r>
        <w:rPr>
          <w:b w:val="0"/>
          <w:i w:val="0"/>
          <w:smallCaps w:val="0"/>
          <w:strike w:val="0"/>
          <w:sz w:val="16"/>
          <w:u w:val="none"/>
        </w:rPr>
        <w:t xml:space="preserve"> across individuals or firms.156 He provides the example of taxes on fatty foods, which may be justified on the theory that obesity creates social costs. However, some people eat fatty foods without becoming obese. They should not be taxed; and a tax might deter them from a valuable activity. A tax based on the average contribution of fatty food to social costs will also underdeter obese people. A better tax would vary according to the likelihood that any person becomes obese, but such a tax would be difficult to administer.</w:t>
      </w:r>
    </w:p>
    <w:p>
      <w:pPr>
        <w:pStyle w:val="Caption"/>
      </w:pPr>
      <w:r>
        <w:t>Source: Taxes CP - Michigan 7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