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Increase requires preexistence. </w:t>
      </w:r>
    </w:p>
    <w:p>
      <w:pPr>
        <w:spacing w:after="80"/>
      </w:pPr>
      <w:r>
        <w:rPr>
          <w:b/>
          <w:i w:val="0"/>
          <w:smallCaps w:val="0"/>
          <w:strike w:val="0"/>
          <w:sz w:val="26"/>
          <w:u w:val="none"/>
        </w:rPr>
        <w:t xml:space="preserve">Buckley 6 </w:t>
      </w:r>
      <w:r>
        <w:rPr>
          <w:b w:val="0"/>
          <w:i w:val="0"/>
          <w:smallCaps w:val="0"/>
          <w:strike w:val="0"/>
          <w:sz w:val="16"/>
          <w:u w:val="none"/>
        </w:rPr>
        <w:t>[Jeremiah Buckley is a attorney specialist in analyzing Supreme Court cases; Amicus Curiae Brief, “Safeco Ins. Co. of America et al v. Charles Burr et al,” 2006, http://supreme.lp.findlaw.com/supreme_court/briefs/06-84/06-84.mer.ami.mica.pdf]</w:t>
      </w:r>
    </w:p>
    <w:p>
      <w:pPr>
        <w:spacing w:after="60"/>
      </w:pPr>
      <w:r>
        <w:rPr>
          <w:b w:val="0"/>
          <w:i w:val="0"/>
          <w:smallCaps w:val="0"/>
          <w:strike w:val="0"/>
          <w:sz w:val="16"/>
          <w:u w:val="none"/>
        </w:rPr>
        <w:t xml:space="preserve">First, the court said that </w:t>
      </w:r>
      <w:r>
        <w:rPr>
          <w:b w:val="0"/>
          <w:i w:val="0"/>
          <w:smallCaps w:val="0"/>
          <w:strike w:val="0"/>
          <w:sz w:val="22"/>
          <w:u w:val="single"/>
        </w:rPr>
        <w:t>the ordinary meaning of the word “increase” is “to make something greater,”</w:t>
      </w:r>
      <w:r>
        <w:rPr>
          <w:b w:val="0"/>
          <w:i w:val="0"/>
          <w:smallCaps w:val="0"/>
          <w:strike w:val="0"/>
          <w:sz w:val="16"/>
          <w:u w:val="none"/>
        </w:rPr>
        <w:t xml:space="preserve"> which it believed should </w:t>
      </w:r>
      <w:r>
        <w:rPr>
          <w:b w:val="0"/>
          <w:i w:val="0"/>
          <w:smallCaps w:val="0"/>
          <w:strike w:val="0"/>
          <w:sz w:val="22"/>
          <w:u w:val="single"/>
        </w:rPr>
        <w:t>not “be limited to cases in which a company raises the rate that an individual has previously been charged.”</w:t>
      </w:r>
      <w:r>
        <w:rPr>
          <w:b w:val="0"/>
          <w:i w:val="0"/>
          <w:smallCaps w:val="0"/>
          <w:strike w:val="0"/>
          <w:sz w:val="16"/>
          <w:u w:val="none"/>
        </w:rPr>
        <w:t xml:space="preserve">  435 F.3d at 1091. Yet the definition offered by the Ninth Circuit compels the opposite conclusion. Because “increase” means “to make something greater,” there must necessarily have been an existing premium, to which Edo’s  actual premium may be compared, to determine whether an “increase” occurred. Congress could have provided that “</w:t>
      </w:r>
      <w:r>
        <w:rPr>
          <w:b w:val="0"/>
          <w:i w:val="0"/>
          <w:smallCaps w:val="0"/>
          <w:strike w:val="0"/>
          <w:sz w:val="22"/>
          <w:u w:val="single"/>
        </w:rPr>
        <w:t>ad-verse action”</w:t>
      </w:r>
      <w:r>
        <w:rPr>
          <w:b w:val="0"/>
          <w:i w:val="0"/>
          <w:smallCaps w:val="0"/>
          <w:strike w:val="0"/>
          <w:sz w:val="16"/>
          <w:u w:val="none"/>
        </w:rPr>
        <w:t xml:space="preserve"> in the insurance context means charging an amount greater than the optimal premium, but instead chose to define adverse action in terms of an “increase.”  That def-initional choice must be respected, not ignored. See Colautti v. Franklin, 439 U.S. 379, 392-93 n.10 (1979) (“[a] defin-ition which declares what a term ‘means’ . . . </w:t>
      </w:r>
      <w:r>
        <w:rPr>
          <w:b w:val="0"/>
          <w:i w:val="0"/>
          <w:smallCaps w:val="0"/>
          <w:strike w:val="0"/>
          <w:sz w:val="22"/>
          <w:u w:val="single"/>
        </w:rPr>
        <w:t>excludes any  meaning that is not stated</w:t>
      </w:r>
      <w:r>
        <w:rPr>
          <w:b w:val="0"/>
          <w:i w:val="0"/>
          <w:smallCaps w:val="0"/>
          <w:strike w:val="0"/>
          <w:sz w:val="16"/>
          <w:u w:val="none"/>
        </w:rPr>
        <w:t>”). Next, the Ninth Circuit reasoned that because the Insurance Prong includes the words “existing or applied for,” Congress intended that an “increase in any charge” for insurance must “apply to all insurance transactions – from an initial policy of insurance to a renewal of a long-held policy.”   435 F.3d at 1091. This interpretation reads the words “</w:t>
      </w:r>
      <w:r>
        <w:rPr>
          <w:b w:val="0"/>
          <w:i w:val="0"/>
          <w:smallCaps w:val="0"/>
          <w:strike w:val="0"/>
          <w:sz w:val="22"/>
          <w:u w:val="single"/>
        </w:rPr>
        <w:t>exist-ing or applied</w:t>
      </w:r>
      <w:r>
        <w:rPr>
          <w:b w:val="0"/>
          <w:i w:val="0"/>
          <w:smallCaps w:val="0"/>
          <w:strike w:val="0"/>
          <w:sz w:val="16"/>
          <w:u w:val="none"/>
        </w:rPr>
        <w:t xml:space="preserve"> for” in isolation. Other types of adverse action described in the Insurance Prong apply only to situations where a consumer had an existing policy of insurance, such as a “cancellation,” “reduction,” or “change” in insurance. Each of these forms of adverse action presupposes </w:t>
      </w:r>
      <w:r>
        <w:rPr>
          <w:b w:val="0"/>
          <w:i w:val="0"/>
          <w:smallCaps w:val="0"/>
          <w:strike w:val="0"/>
          <w:sz w:val="22"/>
          <w:u w:val="single"/>
        </w:rPr>
        <w:t>an already-existing policy</w:t>
      </w:r>
      <w:r>
        <w:rPr>
          <w:b w:val="0"/>
          <w:i w:val="0"/>
          <w:smallCaps w:val="0"/>
          <w:strike w:val="0"/>
          <w:sz w:val="16"/>
          <w:u w:val="none"/>
        </w:rPr>
        <w:t xml:space="preserve">, and under usual canons of statutory construction the </w:t>
      </w:r>
      <w:r>
        <w:rPr>
          <w:b w:val="0"/>
          <w:i w:val="0"/>
          <w:smallCaps w:val="0"/>
          <w:strike w:val="0"/>
          <w:sz w:val="22"/>
          <w:u w:val="single"/>
        </w:rPr>
        <w:t>term “increase” also should be</w:t>
      </w:r>
      <w:r>
        <w:rPr>
          <w:b w:val="0"/>
          <w:i w:val="0"/>
          <w:smallCaps w:val="0"/>
          <w:strike w:val="0"/>
          <w:sz w:val="16"/>
          <w:u w:val="none"/>
        </w:rPr>
        <w:t xml:space="preserve"> construed to apply to </w:t>
      </w:r>
      <w:r>
        <w:rPr>
          <w:b w:val="0"/>
          <w:i w:val="0"/>
          <w:smallCaps w:val="0"/>
          <w:strike w:val="0"/>
          <w:sz w:val="22"/>
          <w:u w:val="single"/>
        </w:rPr>
        <w:t>increases of an already-existing policy</w:t>
      </w:r>
      <w:r>
        <w:rPr>
          <w:b w:val="0"/>
          <w:i w:val="0"/>
          <w:smallCaps w:val="0"/>
          <w:strike w:val="0"/>
          <w:sz w:val="16"/>
          <w:u w:val="none"/>
        </w:rPr>
        <w:t>. See Hibbs v. Winn, 542 U.S. 88, 101 (2004) (“a phrase gathers meaning from the words around it”) (citation omitted).</w:t>
      </w:r>
    </w:p>
    <w:p>
      <w:pPr>
        <w:pStyle w:val="Caption"/>
      </w:pPr>
      <w:r>
        <w:t>Source: Black Copyright Aff Neg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