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Star Athletica</w:t>
      </w:r>
      <w:r>
        <w:rPr>
          <w:b/>
          <w:i w:val="0"/>
          <w:smallCaps w:val="0"/>
          <w:strike w:val="0"/>
          <w:sz w:val="26"/>
          <w:u w:val="none"/>
        </w:rPr>
        <w:t xml:space="preserve"> set the table for the aff. It represents broad protection, but was insufficient to solve “communal authorship”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Steffe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(Luke Steffe, Indiana University Maurer School of Law, J.D. cum laude, Protection and Prevention: The Shortcomings of U.S. Copyright Law in Combatting Cultural Appropriation in the Fashion Industry, https://www.repository.law.indiana.edu/ipt/vol12/iss3/4/, IP Theory Vol. 12: Iss. 3, Article 4, Summer 2023---gm)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2"/>
          <w:u w:val="single"/>
        </w:rPr>
        <w:t>by expanding the concepts of what constitutes a valid copyright, Star Athletica now provides the framework to hold KTZ liable for infringement</w:t>
      </w:r>
      <w:r>
        <w:rPr>
          <w:b w:val="0"/>
          <w:i w:val="0"/>
          <w:smallCaps w:val="0"/>
          <w:strike w:val="0"/>
          <w:u w:val="none"/>
        </w:rPr>
        <w:t xml:space="preserve"> upon a showing that the motifs could be separated from the parka's utilitarian functions and protected on their own. 105 </w:t>
      </w:r>
      <w:r>
        <w:rPr>
          <w:b/>
          <w:i w:val="0"/>
          <w:smallCaps w:val="0"/>
          <w:strike w:val="0"/>
          <w:sz w:val="22"/>
          <w:u w:val="single"/>
        </w:rPr>
        <w:t>Despite</w:t>
      </w:r>
      <w:r>
        <w:rPr>
          <w:b w:val="0"/>
          <w:i w:val="0"/>
          <w:smallCaps w:val="0"/>
          <w:strike w:val="0"/>
          <w:u w:val="none"/>
        </w:rPr>
        <w:t xml:space="preserve"> the parka itself representing a copyrightable object, </w:t>
      </w:r>
      <w:r>
        <w:rPr>
          <w:b/>
          <w:i w:val="0"/>
          <w:smallCaps w:val="0"/>
          <w:strike w:val="0"/>
          <w:sz w:val="22"/>
          <w:u w:val="single"/>
        </w:rPr>
        <w:t>the Copyright Act remains restrictive when considered in light of</w:t>
      </w:r>
      <w:r>
        <w:rPr>
          <w:b w:val="0"/>
          <w:i w:val="0"/>
          <w:smallCaps w:val="0"/>
          <w:strike w:val="0"/>
          <w:u w:val="none"/>
        </w:rPr>
        <w:t xml:space="preserve"> customary law and traditional notions of </w:t>
      </w:r>
      <w:r>
        <w:rPr>
          <w:b/>
          <w:i w:val="0"/>
          <w:smallCaps w:val="0"/>
          <w:strike w:val="0"/>
          <w:sz w:val="22"/>
          <w:u w:val="single"/>
        </w:rPr>
        <w:t>communal authorship</w:t>
      </w:r>
      <w:r>
        <w:rPr>
          <w:b w:val="0"/>
          <w:i w:val="0"/>
          <w:smallCaps w:val="0"/>
          <w:strike w:val="0"/>
          <w:u w:val="none"/>
        </w:rPr>
        <w:t xml:space="preserve">. Thus, it presents hurdles to the protection of analogous Indigenous designs.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Star Athletica </w:t>
      </w:r>
      <w:r>
        <w:rPr>
          <w:b/>
          <w:i w:val="0"/>
          <w:smallCaps w:val="0"/>
          <w:strike w:val="0"/>
          <w:sz w:val="22"/>
          <w:u w:val="single"/>
        </w:rPr>
        <w:t>exemplifies</w:t>
      </w:r>
      <w:r>
        <w:rPr>
          <w:b w:val="0"/>
          <w:i w:val="0"/>
          <w:smallCaps w:val="0"/>
          <w:strike w:val="0"/>
          <w:u w:val="none"/>
        </w:rPr>
        <w:t xml:space="preserve"> the benefits of utilizing </w:t>
      </w:r>
      <w:r>
        <w:rPr>
          <w:b w:val="0"/>
          <w:i w:val="0"/>
          <w:smallCaps w:val="0"/>
          <w:strike w:val="0"/>
          <w:sz w:val="22"/>
          <w:u w:val="single"/>
        </w:rPr>
        <w:t>broad legislative interpretation as a tool to provide for greater protections and lays the groundwork for preventing cultural appropriation</w:t>
      </w:r>
      <w:r>
        <w:rPr>
          <w:b w:val="0"/>
          <w:i w:val="0"/>
          <w:smallCaps w:val="0"/>
          <w:strike w:val="0"/>
          <w:u w:val="none"/>
        </w:rPr>
        <w:t xml:space="preserve"> by incorporating customary laws within the existing legislative framework by recognizing notions of communal authorship and strengthening moral rights.</w:t>
      </w:r>
    </w:p>
    <w:p>
      <w:pPr>
        <w:pStyle w:val="Caption"/>
      </w:pPr>
      <w:r>
        <w:t>Source: Black Copyright Aff Neg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