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They already have moral rights</w:t>
      </w:r>
    </w:p>
    <w:p>
      <w:pPr>
        <w:spacing w:after="80"/>
      </w:pPr>
      <w:r>
        <w:rPr>
          <w:b/>
          <w:i w:val="0"/>
          <w:smallCaps w:val="0"/>
          <w:strike w:val="0"/>
          <w:sz w:val="26"/>
          <w:u w:val="none"/>
        </w:rPr>
        <w:t xml:space="preserve">Jimenez ND </w:t>
      </w:r>
      <w:r>
        <w:rPr>
          <w:b w:val="0"/>
          <w:i w:val="0"/>
          <w:smallCaps w:val="0"/>
          <w:strike w:val="0"/>
          <w:u w:val="none"/>
        </w:rPr>
        <w:t xml:space="preserve">[Adan Jimenez is a lawyer for apex law group, Apex Law, “An Introduction to the Visual Artist Rights Act (“VARA”)”, https://apexlg.com/an-introduction-to-the-visual-artist-rights-act-vara/] </w:t>
      </w:r>
    </w:p>
    <w:p>
      <w:pPr>
        <w:spacing w:after="60"/>
      </w:pPr>
      <w:r>
        <w:rPr>
          <w:b w:val="0"/>
          <w:i w:val="0"/>
          <w:smallCaps w:val="0"/>
          <w:strike w:val="0"/>
          <w:sz w:val="22"/>
          <w:u w:val="single"/>
        </w:rPr>
        <w:t>visual artists</w:t>
      </w:r>
      <w:r>
        <w:rPr>
          <w:b w:val="0"/>
          <w:i w:val="0"/>
          <w:smallCaps w:val="0"/>
          <w:strike w:val="0"/>
          <w:u w:val="none"/>
        </w:rPr>
        <w:t xml:space="preserve"> pour their heart and soul into their creations, and it’s only fair that they’re </w:t>
      </w:r>
      <w:r>
        <w:rPr>
          <w:b w:val="0"/>
          <w:i w:val="0"/>
          <w:smallCaps w:val="0"/>
          <w:strike w:val="0"/>
          <w:sz w:val="22"/>
          <w:u w:val="single"/>
        </w:rPr>
        <w:t>afforded legal protections for their works</w:t>
      </w:r>
      <w:r>
        <w:rPr>
          <w:b w:val="0"/>
          <w:i w:val="0"/>
          <w:smallCaps w:val="0"/>
          <w:strike w:val="0"/>
          <w:u w:val="none"/>
        </w:rPr>
        <w:t>. This is where the Visual Artists Rights Act (“</w:t>
      </w:r>
      <w:r>
        <w:rPr>
          <w:b w:val="0"/>
          <w:i w:val="0"/>
          <w:smallCaps w:val="0"/>
          <w:strike w:val="0"/>
          <w:sz w:val="22"/>
          <w:u w:val="single"/>
        </w:rPr>
        <w:t>VARA</w:t>
      </w:r>
      <w:r>
        <w:rPr>
          <w:b w:val="0"/>
          <w:i w:val="0"/>
          <w:smallCaps w:val="0"/>
          <w:strike w:val="0"/>
          <w:u w:val="none"/>
        </w:rPr>
        <w:t xml:space="preserve">”) comes </w:t>
      </w:r>
      <w:r>
        <w:rPr>
          <w:b w:val="0"/>
          <w:i w:val="0"/>
          <w:smallCaps w:val="0"/>
          <w:strike w:val="0"/>
          <w:sz w:val="22"/>
          <w:u w:val="single"/>
        </w:rPr>
        <w:t>into</w:t>
      </w:r>
      <w:r>
        <w:rPr>
          <w:b w:val="0"/>
          <w:i w:val="0"/>
          <w:smallCaps w:val="0"/>
          <w:strike w:val="0"/>
          <w:u w:val="none"/>
        </w:rPr>
        <w:t xml:space="preserve"> </w:t>
      </w:r>
      <w:r>
        <w:rPr>
          <w:b w:val="0"/>
          <w:i w:val="0"/>
          <w:smallCaps w:val="0"/>
          <w:strike w:val="0"/>
          <w:sz w:val="22"/>
          <w:u w:val="single"/>
        </w:rPr>
        <w:t>play</w:t>
      </w:r>
      <w:r>
        <w:rPr>
          <w:b w:val="0"/>
          <w:i w:val="0"/>
          <w:smallCaps w:val="0"/>
          <w:strike w:val="0"/>
          <w:u w:val="none"/>
        </w:rPr>
        <w:t xml:space="preserve">. If you’re an artist looking to </w:t>
      </w:r>
      <w:r>
        <w:rPr>
          <w:b w:val="0"/>
          <w:i w:val="0"/>
          <w:smallCaps w:val="0"/>
          <w:strike w:val="0"/>
          <w:sz w:val="22"/>
          <w:u w:val="single"/>
        </w:rPr>
        <w:t>safeguard</w:t>
      </w:r>
      <w:r>
        <w:rPr>
          <w:b w:val="0"/>
          <w:i w:val="0"/>
          <w:smallCaps w:val="0"/>
          <w:strike w:val="0"/>
          <w:u w:val="none"/>
        </w:rPr>
        <w:t xml:space="preserve"> your artistic </w:t>
      </w:r>
      <w:r>
        <w:rPr>
          <w:b w:val="0"/>
          <w:i w:val="0"/>
          <w:smallCaps w:val="0"/>
          <w:strike w:val="0"/>
          <w:sz w:val="22"/>
          <w:u w:val="single"/>
        </w:rPr>
        <w:t>legacy</w:t>
      </w:r>
      <w:r>
        <w:rPr>
          <w:b w:val="0"/>
          <w:i w:val="0"/>
          <w:smallCaps w:val="0"/>
          <w:strike w:val="0"/>
          <w:u w:val="none"/>
        </w:rPr>
        <w:t>, this guide is for you. In this blog post, we’ll break down VARA, demystify its complexities, and show you how to use it to your advantage while optimizing for search engines along the way.</w:t>
      </w:r>
    </w:p>
    <w:p>
      <w:pPr>
        <w:spacing w:after="60"/>
      </w:pPr>
      <w:r>
        <w:rPr>
          <w:b w:val="0"/>
          <w:i w:val="0"/>
          <w:smallCaps w:val="0"/>
          <w:strike w:val="0"/>
          <w:u w:val="none"/>
        </w:rPr>
        <w:t>Understanding VARA: What Is It?</w:t>
      </w:r>
    </w:p>
    <w:p>
      <w:pPr>
        <w:spacing w:after="60"/>
      </w:pPr>
      <w:r>
        <w:rPr>
          <w:b w:val="0"/>
          <w:i w:val="0"/>
          <w:smallCaps w:val="0"/>
          <w:strike w:val="0"/>
          <w:sz w:val="22"/>
          <w:u w:val="single"/>
        </w:rPr>
        <w:t>VARA</w:t>
      </w:r>
      <w:r>
        <w:rPr>
          <w:b w:val="0"/>
          <w:i w:val="0"/>
          <w:smallCaps w:val="0"/>
          <w:strike w:val="0"/>
          <w:u w:val="none"/>
        </w:rPr>
        <w:t xml:space="preserve">, the Visual Artists Rights Act, </w:t>
      </w:r>
      <w:r>
        <w:rPr>
          <w:b w:val="0"/>
          <w:i w:val="0"/>
          <w:smallCaps w:val="0"/>
          <w:strike w:val="0"/>
          <w:sz w:val="22"/>
          <w:u w:val="single"/>
        </w:rPr>
        <w:t>is a federal law in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designed to protect</w:t>
      </w:r>
      <w:r>
        <w:rPr>
          <w:b w:val="0"/>
          <w:i w:val="0"/>
          <w:smallCaps w:val="0"/>
          <w:strike w:val="0"/>
          <w:u w:val="none"/>
        </w:rPr>
        <w:t xml:space="preserve"> the rights of visual </w:t>
      </w:r>
      <w:r>
        <w:rPr>
          <w:b w:val="0"/>
          <w:i w:val="0"/>
          <w:smallCaps w:val="0"/>
          <w:strike w:val="0"/>
          <w:sz w:val="22"/>
          <w:u w:val="single"/>
        </w:rPr>
        <w:t>artists</w:t>
      </w:r>
      <w:r>
        <w:rPr>
          <w:b w:val="0"/>
          <w:i w:val="0"/>
          <w:smallCaps w:val="0"/>
          <w:strike w:val="0"/>
          <w:u w:val="none"/>
        </w:rPr>
        <w:t xml:space="preserve">, which is codified at 17 USC § 106A. It </w:t>
      </w:r>
      <w:r>
        <w:rPr>
          <w:b w:val="0"/>
          <w:i w:val="0"/>
          <w:smallCaps w:val="0"/>
          <w:strike w:val="0"/>
          <w:sz w:val="22"/>
          <w:u w:val="single"/>
        </w:rPr>
        <w:t>grants</w:t>
      </w:r>
      <w:r>
        <w:rPr>
          <w:b w:val="0"/>
          <w:i w:val="0"/>
          <w:smallCaps w:val="0"/>
          <w:strike w:val="0"/>
          <w:u w:val="none"/>
        </w:rPr>
        <w:t xml:space="preserve"> qualified </w:t>
      </w:r>
      <w:r>
        <w:rPr>
          <w:b w:val="0"/>
          <w:i w:val="0"/>
          <w:smallCaps w:val="0"/>
          <w:strike w:val="0"/>
          <w:sz w:val="22"/>
          <w:u w:val="single"/>
        </w:rPr>
        <w:t>artists</w:t>
      </w:r>
      <w:r>
        <w:rPr>
          <w:b w:val="0"/>
          <w:i w:val="0"/>
          <w:smallCaps w:val="0"/>
          <w:strike w:val="0"/>
          <w:u w:val="none"/>
        </w:rPr>
        <w:t xml:space="preserve"> two fundamental rights: the right of </w:t>
      </w:r>
      <w:r>
        <w:rPr>
          <w:b w:val="0"/>
          <w:i w:val="0"/>
          <w:smallCaps w:val="0"/>
          <w:strike w:val="0"/>
          <w:sz w:val="22"/>
          <w:u w:val="single"/>
        </w:rPr>
        <w:t>attribution</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the right of </w:t>
      </w:r>
      <w:r>
        <w:rPr>
          <w:b w:val="0"/>
          <w:i w:val="0"/>
          <w:smallCaps w:val="0"/>
          <w:strike w:val="0"/>
          <w:sz w:val="22"/>
          <w:u w:val="single"/>
        </w:rPr>
        <w:t>integrity</w:t>
      </w:r>
      <w:r>
        <w:rPr>
          <w:b w:val="0"/>
          <w:i w:val="0"/>
          <w:smallCaps w:val="0"/>
          <w:strike w:val="0"/>
          <w:u w:val="none"/>
        </w:rPr>
        <w:t xml:space="preserve">. It should be noted that this is </w:t>
      </w:r>
      <w:r>
        <w:rPr>
          <w:b w:val="0"/>
          <w:i w:val="0"/>
          <w:smallCaps w:val="0"/>
          <w:strike w:val="0"/>
          <w:sz w:val="22"/>
          <w:u w:val="single"/>
        </w:rPr>
        <w:t>different than copyright</w:t>
      </w:r>
      <w:r>
        <w:rPr>
          <w:b w:val="0"/>
          <w:i w:val="0"/>
          <w:smallCaps w:val="0"/>
          <w:strike w:val="0"/>
          <w:u w:val="none"/>
        </w:rPr>
        <w:t>. These rights are separate than copyright and do not transfer when the ownership of a copyright is transferred.</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