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State engagement </w:t>
      </w:r>
      <w:r>
        <w:rPr>
          <w:b/>
          <w:i w:val="0"/>
          <w:smallCaps w:val="0"/>
          <w:strike w:val="0"/>
          <w:u w:val="single"/>
        </w:rPr>
        <w:t>isn’t</w:t>
      </w:r>
      <w:r>
        <w:rPr>
          <w:b/>
          <w:i w:val="0"/>
          <w:smallCaps w:val="0"/>
          <w:strike w:val="0"/>
          <w:u w:val="none"/>
        </w:rPr>
        <w:t xml:space="preserve"> superficial reform, but can </w:t>
      </w:r>
      <w:r>
        <w:rPr>
          <w:b/>
          <w:i w:val="0"/>
          <w:smallCaps w:val="0"/>
          <w:strike w:val="0"/>
          <w:u w:val="single"/>
        </w:rPr>
        <w:t>radically subvert</w:t>
      </w:r>
      <w:r>
        <w:rPr>
          <w:b/>
          <w:i w:val="0"/>
          <w:smallCaps w:val="0"/>
          <w:strike w:val="0"/>
          <w:u w:val="none"/>
        </w:rPr>
        <w:t xml:space="preserve"> violent ableist logics. Epistemic shifts </w:t>
      </w:r>
      <w:r>
        <w:rPr>
          <w:b/>
          <w:i w:val="0"/>
          <w:smallCaps w:val="0"/>
          <w:strike w:val="0"/>
          <w:u w:val="single"/>
        </w:rPr>
        <w:t>alone</w:t>
      </w:r>
      <w:r>
        <w:rPr>
          <w:b/>
          <w:i w:val="0"/>
          <w:smallCaps w:val="0"/>
          <w:strike w:val="0"/>
          <w:u w:val="none"/>
        </w:rPr>
        <w:t xml:space="preserve"> are insufficient.</w:t>
      </w:r>
    </w:p>
    <w:p>
      <w:pPr>
        <w:spacing w:after="80"/>
      </w:pPr>
      <w:r>
        <w:rPr>
          <w:b/>
          <w:i w:val="0"/>
          <w:smallCaps w:val="0"/>
          <w:strike w:val="0"/>
          <w:sz w:val="22"/>
          <w:u w:val="none"/>
        </w:rPr>
        <w:t>Wildeman, 23</w:t>
      </w:r>
      <w:r>
        <w:rPr>
          <w:b w:val="0"/>
          <w:i w:val="0"/>
          <w:smallCaps w:val="0"/>
          <w:strike w:val="0"/>
          <w:u w:val="none"/>
        </w:rPr>
        <w:t xml:space="preserve">—Associate Professor, Schulich School of Law, Dalhousie University (Sheila, “Critical Pathways to Disability </w:t>
      </w:r>
      <w:r>
        <w:rPr>
          <w:b w:val="0"/>
          <w:i w:val="0"/>
          <w:smallCaps w:val="0"/>
          <w:strike w:val="0"/>
          <w:u w:val="none"/>
        </w:rPr>
        <w:t>Decarceration</w:t>
      </w:r>
      <w:r>
        <w:rPr>
          <w:b w:val="0"/>
          <w:i w:val="0"/>
          <w:smallCaps w:val="0"/>
          <w:strike w:val="0"/>
          <w:u w:val="none"/>
        </w:rPr>
        <w:t>: Reading Liat Ben-</w:t>
      </w:r>
    </w:p>
    <w:p>
      <w:pPr>
        <w:spacing w:after="60"/>
      </w:pPr>
      <w:r>
        <w:rPr>
          <w:b w:val="0"/>
          <w:i w:val="0"/>
          <w:smallCaps w:val="0"/>
          <w:strike w:val="0"/>
          <w:u w:val="none"/>
        </w:rPr>
        <w:t xml:space="preserve">Moshe and Linda Steele,” </w:t>
      </w:r>
      <w:r>
        <w:rPr>
          <w:b w:val="0"/>
          <w:i w:val="0"/>
          <w:smallCaps w:val="0"/>
          <w:strike w:val="0"/>
          <w:u w:val="none"/>
        </w:rPr>
        <w:t>feminists@law</w:t>
      </w:r>
      <w:r>
        <w:rPr>
          <w:b w:val="0"/>
          <w:i w:val="0"/>
          <w:smallCaps w:val="0"/>
          <w:strike w:val="0"/>
          <w:u w:val="none"/>
        </w:rPr>
        <w:t>, Vol 12, No 1 (2023), dml)</w:t>
      </w:r>
    </w:p>
    <w:p>
      <w:pPr>
        <w:spacing w:after="60"/>
      </w:pPr>
      <w:r>
        <w:rPr>
          <w:b w:val="0"/>
          <w:i w:val="0"/>
          <w:smallCaps w:val="0"/>
          <w:strike w:val="0"/>
          <w:sz w:val="14"/>
          <w:u w:val="none"/>
        </w:rPr>
        <w:t xml:space="preserve">In closing, I turn to the </w:t>
      </w:r>
      <w:r>
        <w:rPr>
          <w:b w:val="0"/>
          <w:i w:val="0"/>
          <w:smallCaps w:val="0"/>
          <w:strike w:val="0"/>
          <w:sz w:val="22"/>
          <w:u w:val="single"/>
        </w:rPr>
        <w:t>remedial pathways</w:t>
      </w:r>
      <w:r>
        <w:rPr>
          <w:b w:val="0"/>
          <w:i w:val="0"/>
          <w:smallCaps w:val="0"/>
          <w:strike w:val="0"/>
          <w:sz w:val="14"/>
          <w:u w:val="none"/>
        </w:rPr>
        <w:t xml:space="preserve"> contemplated by the authors. Both books </w:t>
      </w:r>
      <w:r>
        <w:rPr>
          <w:b w:val="0"/>
          <w:i w:val="0"/>
          <w:smallCaps w:val="0"/>
          <w:strike w:val="0"/>
          <w:sz w:val="22"/>
          <w:u w:val="single"/>
        </w:rPr>
        <w:t xml:space="preserve">are written from a place of </w:t>
      </w:r>
      <w:r>
        <w:rPr>
          <w:b/>
          <w:i w:val="0"/>
          <w:smallCaps w:val="0"/>
          <w:strike w:val="0"/>
          <w:sz w:val="22"/>
          <w:u w:val="single"/>
        </w:rPr>
        <w:t>hope</w:t>
      </w:r>
      <w:r>
        <w:rPr>
          <w:b w:val="0"/>
          <w:i w:val="0"/>
          <w:smallCaps w:val="0"/>
          <w:strike w:val="0"/>
          <w:sz w:val="14"/>
          <w:u w:val="none"/>
        </w:rPr>
        <w:t xml:space="preserve"> – the hope </w:t>
      </w:r>
      <w:r>
        <w:rPr>
          <w:b w:val="0"/>
          <w:i w:val="0"/>
          <w:smallCaps w:val="0"/>
          <w:strike w:val="0"/>
          <w:sz w:val="22"/>
          <w:u w:val="single"/>
        </w:rPr>
        <w:t xml:space="preserve">that the </w:t>
      </w:r>
      <w:r>
        <w:rPr>
          <w:b w:val="0"/>
          <w:i w:val="0"/>
          <w:smallCaps w:val="0"/>
          <w:strike w:val="0"/>
          <w:sz w:val="22"/>
          <w:highlight w:val="cyan"/>
          <w:u w:val="single"/>
        </w:rPr>
        <w:t>carceral logics shoring up</w:t>
      </w:r>
      <w:r>
        <w:rPr>
          <w:b w:val="0"/>
          <w:i w:val="0"/>
          <w:smallCaps w:val="0"/>
          <w:strike w:val="0"/>
          <w:sz w:val="22"/>
          <w:u w:val="single"/>
        </w:rPr>
        <w:t xml:space="preserve"> capitalist</w:t>
      </w:r>
      <w:r>
        <w:rPr>
          <w:b w:val="0"/>
          <w:i w:val="0"/>
          <w:smallCaps w:val="0"/>
          <w:strike w:val="0"/>
          <w:sz w:val="14"/>
          <w:u w:val="none"/>
        </w:rPr>
        <w:t xml:space="preserve">, </w:t>
      </w:r>
      <w:r>
        <w:rPr>
          <w:b w:val="0"/>
          <w:i w:val="0"/>
          <w:smallCaps w:val="0"/>
          <w:strike w:val="0"/>
          <w:sz w:val="22"/>
          <w:u w:val="single"/>
        </w:rPr>
        <w:t xml:space="preserve">colonialist and </w:t>
      </w:r>
      <w:r>
        <w:rPr>
          <w:b w:val="0"/>
          <w:i w:val="0"/>
          <w:smallCaps w:val="0"/>
          <w:strike w:val="0"/>
          <w:sz w:val="22"/>
          <w:highlight w:val="cyan"/>
          <w:u w:val="single"/>
        </w:rPr>
        <w:t xml:space="preserve">ableist power may be </w:t>
      </w:r>
      <w:r>
        <w:rPr>
          <w:b/>
          <w:i w:val="0"/>
          <w:smallCaps w:val="0"/>
          <w:strike w:val="0"/>
          <w:sz w:val="22"/>
          <w:highlight w:val="cyan"/>
          <w:u w:val="single"/>
        </w:rPr>
        <w:t>radically subverted</w:t>
      </w:r>
      <w:r>
        <w:rPr>
          <w:b w:val="0"/>
          <w:i w:val="0"/>
          <w:smallCaps w:val="0"/>
          <w:strike w:val="0"/>
          <w:sz w:val="14"/>
          <w:u w:val="none"/>
        </w:rPr>
        <w:t xml:space="preserve">, </w:t>
      </w:r>
      <w:r>
        <w:rPr>
          <w:b w:val="0"/>
          <w:i w:val="0"/>
          <w:smallCaps w:val="0"/>
          <w:strike w:val="0"/>
          <w:sz w:val="22"/>
          <w:highlight w:val="cyan"/>
          <w:u w:val="single"/>
        </w:rPr>
        <w:t xml:space="preserve">not just </w:t>
      </w:r>
      <w:r>
        <w:rPr>
          <w:b/>
          <w:i w:val="0"/>
          <w:smallCaps w:val="0"/>
          <w:strike w:val="0"/>
          <w:sz w:val="22"/>
          <w:highlight w:val="cyan"/>
          <w:u w:val="single"/>
        </w:rPr>
        <w:t>superficially reformed</w:t>
      </w:r>
      <w:r>
        <w:rPr>
          <w:b w:val="0"/>
          <w:i w:val="0"/>
          <w:smallCaps w:val="0"/>
          <w:strike w:val="0"/>
          <w:sz w:val="22"/>
          <w:u w:val="single"/>
        </w:rPr>
        <w:t xml:space="preserve"> or </w:t>
      </w:r>
      <w:r>
        <w:rPr>
          <w:b/>
          <w:i w:val="0"/>
          <w:smallCaps w:val="0"/>
          <w:strike w:val="0"/>
          <w:sz w:val="22"/>
          <w:u w:val="single"/>
        </w:rPr>
        <w:t>diverted</w:t>
      </w:r>
      <w:r>
        <w:rPr>
          <w:b w:val="0"/>
          <w:i w:val="0"/>
          <w:smallCaps w:val="0"/>
          <w:strike w:val="0"/>
          <w:sz w:val="14"/>
          <w:u w:val="none"/>
        </w:rPr>
        <w:t xml:space="preserve">. Yet </w:t>
      </w:r>
      <w:r>
        <w:rPr>
          <w:b w:val="0"/>
          <w:i w:val="0"/>
          <w:smallCaps w:val="0"/>
          <w:strike w:val="0"/>
          <w:sz w:val="22"/>
          <w:highlight w:val="cyan"/>
          <w:u w:val="single"/>
        </w:rPr>
        <w:t>rather than giving</w:t>
      </w:r>
      <w:r>
        <w:rPr>
          <w:b w:val="0"/>
          <w:i w:val="0"/>
          <w:smallCaps w:val="0"/>
          <w:strike w:val="0"/>
          <w:sz w:val="14"/>
          <w:u w:val="none"/>
        </w:rPr>
        <w:t xml:space="preserve"> readers (including lawyers) </w:t>
      </w:r>
      <w:r>
        <w:rPr>
          <w:b/>
          <w:i w:val="0"/>
          <w:smallCaps w:val="0"/>
          <w:strike w:val="0"/>
          <w:sz w:val="22"/>
          <w:highlight w:val="cyan"/>
          <w:u w:val="single"/>
        </w:rPr>
        <w:t>specific instructions</w:t>
      </w:r>
      <w:r>
        <w:rPr>
          <w:b w:val="0"/>
          <w:i w:val="0"/>
          <w:smallCaps w:val="0"/>
          <w:strike w:val="0"/>
          <w:sz w:val="14"/>
          <w:u w:val="none"/>
        </w:rPr>
        <w:t xml:space="preserve">, the </w:t>
      </w:r>
      <w:r>
        <w:rPr>
          <w:b w:val="0"/>
          <w:i w:val="0"/>
          <w:smallCaps w:val="0"/>
          <w:strike w:val="0"/>
          <w:sz w:val="22"/>
          <w:highlight w:val="cyan"/>
          <w:u w:val="single"/>
        </w:rPr>
        <w:t>authors offer</w:t>
      </w:r>
      <w:r>
        <w:rPr>
          <w:b w:val="0"/>
          <w:i w:val="0"/>
          <w:smallCaps w:val="0"/>
          <w:strike w:val="0"/>
          <w:sz w:val="22"/>
          <w:u w:val="single"/>
        </w:rPr>
        <w:t xml:space="preserve"> </w:t>
      </w:r>
      <w:r>
        <w:rPr>
          <w:b/>
          <w:i w:val="0"/>
          <w:smallCaps w:val="0"/>
          <w:strike w:val="0"/>
          <w:sz w:val="22"/>
          <w:highlight w:val="cyan"/>
          <w:u w:val="single"/>
        </w:rPr>
        <w:t>general observations</w:t>
      </w:r>
      <w:r>
        <w:rPr>
          <w:b w:val="0"/>
          <w:i w:val="0"/>
          <w:smallCaps w:val="0"/>
          <w:strike w:val="0"/>
          <w:sz w:val="22"/>
          <w:u w:val="single"/>
        </w:rPr>
        <w:t xml:space="preserve"> aimed at generating new ways of thinking</w:t>
      </w:r>
      <w:r>
        <w:rPr>
          <w:b w:val="0"/>
          <w:i w:val="0"/>
          <w:smallCaps w:val="0"/>
          <w:strike w:val="0"/>
          <w:sz w:val="14"/>
          <w:u w:val="none"/>
        </w:rPr>
        <w:t xml:space="preserve">, </w:t>
      </w:r>
      <w:r>
        <w:rPr>
          <w:b w:val="0"/>
          <w:i w:val="0"/>
          <w:smallCaps w:val="0"/>
          <w:strike w:val="0"/>
          <w:sz w:val="22"/>
          <w:u w:val="single"/>
        </w:rPr>
        <w:t>working and being together</w:t>
      </w:r>
      <w:r>
        <w:rPr>
          <w:b w:val="0"/>
          <w:i w:val="0"/>
          <w:smallCaps w:val="0"/>
          <w:strike w:val="0"/>
          <w:sz w:val="14"/>
          <w:u w:val="none"/>
        </w:rPr>
        <w:t>.</w:t>
      </w:r>
    </w:p>
    <w:p>
      <w:pPr>
        <w:spacing w:after="60"/>
      </w:pPr>
      <w:r>
        <w:rPr>
          <w:b w:val="0"/>
          <w:i w:val="0"/>
          <w:smallCaps w:val="0"/>
          <w:strike w:val="0"/>
          <w:sz w:val="14"/>
          <w:u w:val="none"/>
        </w:rPr>
        <w:t>Decarcerating Disability positions law as a site of contradiction and unpredictability – its meaning and effects contingent on ever-shifting factors defying the calculus of strategists. Acknowledging that no litigation win has been a straightforward success, Ben-Moshe asks: what counts as success? (DD 241). Her response is squarely in the anti-carceral tradition. First, closing institutions is insufficient. What is required is “</w:t>
      </w:r>
      <w:r>
        <w:rPr>
          <w:b w:val="0"/>
          <w:i w:val="0"/>
          <w:smallCaps w:val="0"/>
          <w:strike w:val="0"/>
          <w:sz w:val="22"/>
          <w:highlight w:val="cyan"/>
          <w:u w:val="single"/>
        </w:rPr>
        <w:t xml:space="preserve">an </w:t>
      </w:r>
      <w:r>
        <w:rPr>
          <w:b/>
          <w:i w:val="0"/>
          <w:smallCaps w:val="0"/>
          <w:strike w:val="0"/>
          <w:sz w:val="22"/>
          <w:highlight w:val="cyan"/>
          <w:u w:val="single"/>
        </w:rPr>
        <w:t>epistemic shift</w:t>
      </w:r>
      <w:r>
        <w:rPr>
          <w:b w:val="0"/>
          <w:i w:val="0"/>
          <w:smallCaps w:val="0"/>
          <w:strike w:val="0"/>
          <w:sz w:val="14"/>
          <w:u w:val="none"/>
        </w:rPr>
        <w:t xml:space="preserve"> . . . breaking down the rationality and legitimacy of confinement as a practice” (DD 236). This is developed </w:t>
      </w:r>
      <w:r>
        <w:rPr>
          <w:b w:val="0"/>
          <w:i w:val="0"/>
          <w:smallCaps w:val="0"/>
          <w:strike w:val="0"/>
          <w:sz w:val="22"/>
          <w:highlight w:val="cyan"/>
          <w:u w:val="single"/>
        </w:rPr>
        <w:t>through</w:t>
      </w:r>
      <w:r>
        <w:rPr>
          <w:b w:val="0"/>
          <w:i w:val="0"/>
          <w:smallCaps w:val="0"/>
          <w:strike w:val="0"/>
          <w:sz w:val="14"/>
          <w:u w:val="none"/>
        </w:rPr>
        <w:t xml:space="preserve"> her idea of </w:t>
      </w:r>
      <w:r>
        <w:rPr>
          <w:b/>
          <w:i w:val="0"/>
          <w:smallCaps w:val="0"/>
          <w:strike w:val="0"/>
          <w:sz w:val="22"/>
          <w:highlight w:val="cyan"/>
          <w:u w:val="single"/>
        </w:rPr>
        <w:t>dis-epistemologies</w:t>
      </w:r>
      <w:r>
        <w:rPr>
          <w:b w:val="0"/>
          <w:i w:val="0"/>
          <w:smallCaps w:val="0"/>
          <w:strike w:val="0"/>
          <w:sz w:val="14"/>
          <w:u w:val="none"/>
        </w:rPr>
        <w:t xml:space="preserve"> – </w:t>
      </w:r>
      <w:r>
        <w:rPr>
          <w:b w:val="0"/>
          <w:i w:val="0"/>
          <w:smallCaps w:val="0"/>
          <w:strike w:val="0"/>
          <w:sz w:val="22"/>
          <w:highlight w:val="cyan"/>
          <w:u w:val="single"/>
        </w:rPr>
        <w:t>the</w:t>
      </w:r>
      <w:r>
        <w:rPr>
          <w:b w:val="0"/>
          <w:i w:val="0"/>
          <w:smallCaps w:val="0"/>
          <w:strike w:val="0"/>
          <w:sz w:val="22"/>
          <w:u w:val="single"/>
        </w:rPr>
        <w:t xml:space="preserve"> deconstruction and </w:t>
      </w:r>
      <w:r>
        <w:rPr>
          <w:b w:val="0"/>
          <w:i w:val="0"/>
          <w:smallCaps w:val="0"/>
          <w:strike w:val="0"/>
          <w:sz w:val="22"/>
          <w:highlight w:val="cyan"/>
          <w:u w:val="single"/>
        </w:rPr>
        <w:t>reassembly of ideas already in play</w:t>
      </w:r>
      <w:r>
        <w:rPr>
          <w:b w:val="0"/>
          <w:i w:val="0"/>
          <w:smallCaps w:val="0"/>
          <w:strike w:val="0"/>
          <w:sz w:val="14"/>
          <w:u w:val="none"/>
        </w:rPr>
        <w:t xml:space="preserve"> (</w:t>
      </w:r>
      <w:r>
        <w:rPr>
          <w:b w:val="0"/>
          <w:i w:val="0"/>
          <w:smallCaps w:val="0"/>
          <w:strike w:val="0"/>
          <w:sz w:val="22"/>
          <w:highlight w:val="cyan"/>
          <w:u w:val="single"/>
        </w:rPr>
        <w:t xml:space="preserve">including </w:t>
      </w:r>
      <w:r>
        <w:rPr>
          <w:b/>
          <w:i w:val="0"/>
          <w:smallCaps w:val="0"/>
          <w:strike w:val="0"/>
          <w:sz w:val="22"/>
          <w:highlight w:val="cyan"/>
          <w:u w:val="single"/>
        </w:rPr>
        <w:t>legal precedents</w:t>
      </w:r>
      <w:r>
        <w:rPr>
          <w:b w:val="0"/>
          <w:i w:val="0"/>
          <w:smallCaps w:val="0"/>
          <w:strike w:val="0"/>
          <w:sz w:val="14"/>
          <w:u w:val="none"/>
        </w:rPr>
        <w:t xml:space="preserve">) </w:t>
      </w:r>
      <w:r>
        <w:rPr>
          <w:b w:val="0"/>
          <w:i w:val="0"/>
          <w:smallCaps w:val="0"/>
          <w:strike w:val="0"/>
          <w:sz w:val="22"/>
          <w:highlight w:val="cyan"/>
          <w:u w:val="single"/>
        </w:rPr>
        <w:t xml:space="preserve">in an environment </w:t>
      </w:r>
      <w:r>
        <w:rPr>
          <w:b/>
          <w:i w:val="0"/>
          <w:smallCaps w:val="0"/>
          <w:strike w:val="0"/>
          <w:sz w:val="22"/>
          <w:highlight w:val="cyan"/>
          <w:u w:val="single"/>
        </w:rPr>
        <w:t>never fully</w:t>
      </w:r>
      <w:r>
        <w:rPr>
          <w:b w:val="0"/>
          <w:i w:val="0"/>
          <w:smallCaps w:val="0"/>
          <w:strike w:val="0"/>
          <w:sz w:val="22"/>
          <w:u w:val="single"/>
        </w:rPr>
        <w:t xml:space="preserve"> or </w:t>
      </w:r>
      <w:r>
        <w:rPr>
          <w:b/>
          <w:i w:val="0"/>
          <w:smallCaps w:val="0"/>
          <w:strike w:val="0"/>
          <w:sz w:val="22"/>
          <w:u w:val="single"/>
        </w:rPr>
        <w:t xml:space="preserve">hegemonically </w:t>
      </w:r>
      <w:r>
        <w:rPr>
          <w:b/>
          <w:i w:val="0"/>
          <w:smallCaps w:val="0"/>
          <w:strike w:val="0"/>
          <w:sz w:val="22"/>
          <w:highlight w:val="cyan"/>
          <w:u w:val="single"/>
        </w:rPr>
        <w:t>determined</w:t>
      </w:r>
      <w:r>
        <w:rPr>
          <w:b w:val="0"/>
          <w:i w:val="0"/>
          <w:smallCaps w:val="0"/>
          <w:strike w:val="0"/>
          <w:sz w:val="14"/>
          <w:u w:val="none"/>
        </w:rPr>
        <w:t xml:space="preserve">. Still, the work of transforming carceral logics </w:t>
      </w:r>
      <w:r>
        <w:rPr>
          <w:b w:val="0"/>
          <w:i w:val="0"/>
          <w:smallCaps w:val="0"/>
          <w:strike w:val="0"/>
          <w:sz w:val="22"/>
          <w:highlight w:val="cyan"/>
          <w:u w:val="single"/>
        </w:rPr>
        <w:t>is</w:t>
      </w:r>
      <w:r>
        <w:rPr>
          <w:b w:val="0"/>
          <w:i w:val="0"/>
          <w:smallCaps w:val="0"/>
          <w:strike w:val="0"/>
          <w:sz w:val="14"/>
          <w:u w:val="none"/>
        </w:rPr>
        <w:t xml:space="preserve"> proposed to be </w:t>
      </w:r>
      <w:r>
        <w:rPr>
          <w:b/>
          <w:i w:val="0"/>
          <w:smallCaps w:val="0"/>
          <w:strike w:val="0"/>
          <w:sz w:val="22"/>
          <w:highlight w:val="cyan"/>
          <w:u w:val="single"/>
        </w:rPr>
        <w:t>reconcilable with pragmatic action</w:t>
      </w:r>
      <w:r>
        <w:rPr>
          <w:b w:val="0"/>
          <w:i w:val="0"/>
          <w:smallCaps w:val="0"/>
          <w:strike w:val="0"/>
          <w:sz w:val="14"/>
          <w:u w:val="none"/>
        </w:rPr>
        <w:t xml:space="preserve">. </w:t>
      </w:r>
      <w:r>
        <w:rPr>
          <w:b w:val="0"/>
          <w:i w:val="0"/>
          <w:smallCaps w:val="0"/>
          <w:strike w:val="0"/>
          <w:sz w:val="22"/>
          <w:highlight w:val="cyan"/>
          <w:u w:val="single"/>
        </w:rPr>
        <w:t xml:space="preserve">This includes </w:t>
      </w:r>
      <w:r>
        <w:rPr>
          <w:b/>
          <w:i w:val="0"/>
          <w:smallCaps w:val="0"/>
          <w:strike w:val="0"/>
          <w:sz w:val="22"/>
          <w:highlight w:val="cyan"/>
          <w:u w:val="single"/>
        </w:rPr>
        <w:t>using law</w:t>
      </w:r>
      <w:r>
        <w:rPr>
          <w:b w:val="0"/>
          <w:i w:val="0"/>
          <w:smallCaps w:val="0"/>
          <w:strike w:val="0"/>
          <w:sz w:val="22"/>
          <w:highlight w:val="cyan"/>
          <w:u w:val="single"/>
        </w:rPr>
        <w:t xml:space="preserve"> and </w:t>
      </w:r>
      <w:r>
        <w:rPr>
          <w:b/>
          <w:i w:val="0"/>
          <w:smallCaps w:val="0"/>
          <w:strike w:val="0"/>
          <w:sz w:val="22"/>
          <w:highlight w:val="cyan"/>
          <w:u w:val="single"/>
        </w:rPr>
        <w:t>political advocacy</w:t>
      </w:r>
      <w:r>
        <w:rPr>
          <w:b w:val="0"/>
          <w:i w:val="0"/>
          <w:smallCaps w:val="0"/>
          <w:strike w:val="0"/>
          <w:sz w:val="22"/>
          <w:highlight w:val="cyan"/>
          <w:u w:val="single"/>
        </w:rPr>
        <w:t xml:space="preserve"> to </w:t>
      </w:r>
      <w:r>
        <w:rPr>
          <w:b/>
          <w:i w:val="0"/>
          <w:smallCaps w:val="0"/>
          <w:strike w:val="0"/>
          <w:sz w:val="22"/>
          <w:highlight w:val="cyan"/>
          <w:u w:val="single"/>
        </w:rPr>
        <w:t>save lives</w:t>
      </w:r>
      <w:r>
        <w:rPr>
          <w:b w:val="0"/>
          <w:i w:val="0"/>
          <w:smallCaps w:val="0"/>
          <w:strike w:val="0"/>
          <w:sz w:val="22"/>
          <w:u w:val="single"/>
        </w:rPr>
        <w:t xml:space="preserve"> and create conditions in which</w:t>
      </w:r>
      <w:r>
        <w:rPr>
          <w:b w:val="0"/>
          <w:i w:val="0"/>
          <w:smallCaps w:val="0"/>
          <w:strike w:val="0"/>
          <w:sz w:val="14"/>
          <w:u w:val="none"/>
        </w:rPr>
        <w:t xml:space="preserve"> incarcerated and institutionalized </w:t>
      </w:r>
      <w:r>
        <w:rPr>
          <w:b w:val="0"/>
          <w:i w:val="0"/>
          <w:smallCaps w:val="0"/>
          <w:strike w:val="0"/>
          <w:sz w:val="22"/>
          <w:u w:val="single"/>
        </w:rPr>
        <w:t xml:space="preserve">people may </w:t>
      </w:r>
      <w:r>
        <w:rPr>
          <w:b/>
          <w:i w:val="0"/>
          <w:smallCaps w:val="0"/>
          <w:strike w:val="0"/>
          <w:sz w:val="22"/>
          <w:u w:val="single"/>
        </w:rPr>
        <w:t>build solidarity</w:t>
      </w:r>
      <w:r>
        <w:rPr>
          <w:b w:val="0"/>
          <w:i w:val="0"/>
          <w:smallCaps w:val="0"/>
          <w:strike w:val="0"/>
          <w:sz w:val="22"/>
          <w:u w:val="single"/>
        </w:rPr>
        <w:t xml:space="preserve"> around common causes</w:t>
      </w:r>
      <w:r>
        <w:rPr>
          <w:b w:val="0"/>
          <w:i w:val="0"/>
          <w:smallCaps w:val="0"/>
          <w:strike w:val="0"/>
          <w:sz w:val="14"/>
          <w:u w:val="none"/>
        </w:rPr>
        <w:t>.</w:t>
      </w:r>
    </w:p>
    <w:p>
      <w:pPr>
        <w:spacing w:after="60"/>
      </w:pPr>
      <w:r>
        <w:rPr>
          <w:b w:val="0"/>
          <w:i w:val="0"/>
          <w:smallCaps w:val="0"/>
          <w:strike w:val="0"/>
          <w:sz w:val="14"/>
          <w:u w:val="none"/>
        </w:rPr>
        <w:t>Disability, Criminal Justice and Law similarly affirms that critical lawyering and pedagogy may contribute to prison abolition and disability deinstitutionalization. Yet Steele’s book is dedicated to showing how criminal and human rights law is steeped in oppressive concepts functioning to legitimate injustice. This suggests the enormity of the challenge of using law to promote transformative change. It also speaks to the responsibility of lawyers to work in solidarity with people incarcerated across different institutional contexts to expose the contradictions between a liberal-legal ethos of rationalized deprivation of liberty and/or medico-legal ethos of institutionalized care and the real-world violence of these carceral logics.</w:t>
      </w:r>
    </w:p>
    <w:p>
      <w:pPr>
        <w:spacing w:after="60"/>
      </w:pPr>
      <w:r>
        <w:rPr>
          <w:b w:val="0"/>
          <w:i w:val="0"/>
          <w:smallCaps w:val="0"/>
          <w:strike w:val="0"/>
          <w:sz w:val="14"/>
          <w:u w:val="none"/>
        </w:rPr>
        <w:t xml:space="preserve">Steele’s book proposes a set of strategies through which </w:t>
      </w:r>
      <w:r>
        <w:rPr>
          <w:b w:val="0"/>
          <w:i w:val="0"/>
          <w:smallCaps w:val="0"/>
          <w:strike w:val="0"/>
          <w:sz w:val="22"/>
          <w:highlight w:val="cyan"/>
          <w:u w:val="single"/>
        </w:rPr>
        <w:t>lawyers and non-lawyers may</w:t>
      </w:r>
      <w:r>
        <w:rPr>
          <w:b w:val="0"/>
          <w:i w:val="0"/>
          <w:smallCaps w:val="0"/>
          <w:strike w:val="0"/>
          <w:sz w:val="14"/>
          <w:u w:val="none"/>
        </w:rPr>
        <w:t xml:space="preserve"> “</w:t>
      </w:r>
      <w:r>
        <w:rPr>
          <w:b/>
          <w:i w:val="0"/>
          <w:smallCaps w:val="0"/>
          <w:strike w:val="0"/>
          <w:sz w:val="22"/>
          <w:highlight w:val="cyan"/>
          <w:u w:val="single"/>
        </w:rPr>
        <w:t>contest</w:t>
      </w:r>
      <w:r>
        <w:rPr>
          <w:b w:val="0"/>
          <w:i w:val="0"/>
          <w:smallCaps w:val="0"/>
          <w:strike w:val="0"/>
          <w:sz w:val="14"/>
          <w:highlight w:val="cyan"/>
          <w:u w:val="none"/>
        </w:rPr>
        <w:t xml:space="preserve">, </w:t>
      </w:r>
      <w:r>
        <w:rPr>
          <w:b/>
          <w:i w:val="0"/>
          <w:smallCaps w:val="0"/>
          <w:strike w:val="0"/>
          <w:sz w:val="22"/>
          <w:highlight w:val="cyan"/>
          <w:u w:val="single"/>
        </w:rPr>
        <w:t>rather than reify</w:t>
      </w:r>
      <w:r>
        <w:rPr>
          <w:b w:val="0"/>
          <w:i w:val="0"/>
          <w:smallCaps w:val="0"/>
          <w:strike w:val="0"/>
          <w:sz w:val="14"/>
          <w:u w:val="none"/>
        </w:rPr>
        <w:t xml:space="preserve">, </w:t>
      </w:r>
      <w:r>
        <w:rPr>
          <w:b w:val="0"/>
          <w:i w:val="0"/>
          <w:smallCaps w:val="0"/>
          <w:strike w:val="0"/>
          <w:sz w:val="22"/>
          <w:u w:val="single"/>
        </w:rPr>
        <w:t xml:space="preserve">interlocking dynamics and forces of oppression that </w:t>
      </w:r>
      <w:r>
        <w:rPr>
          <w:b/>
          <w:i w:val="0"/>
          <w:smallCaps w:val="0"/>
          <w:strike w:val="0"/>
          <w:sz w:val="22"/>
          <w:u w:val="single"/>
        </w:rPr>
        <w:t xml:space="preserve">shape </w:t>
      </w:r>
      <w:r>
        <w:rPr>
          <w:b/>
          <w:i w:val="0"/>
          <w:smallCaps w:val="0"/>
          <w:strike w:val="0"/>
          <w:sz w:val="22"/>
          <w:highlight w:val="cyan"/>
          <w:u w:val="single"/>
        </w:rPr>
        <w:t>the conditions</w:t>
      </w:r>
      <w:r>
        <w:rPr>
          <w:b w:val="0"/>
          <w:i w:val="0"/>
          <w:smallCaps w:val="0"/>
          <w:strike w:val="0"/>
          <w:sz w:val="22"/>
          <w:highlight w:val="cyan"/>
          <w:u w:val="single"/>
        </w:rPr>
        <w:t xml:space="preserve"> in which</w:t>
      </w:r>
      <w:r>
        <w:rPr>
          <w:b w:val="0"/>
          <w:i w:val="0"/>
          <w:smallCaps w:val="0"/>
          <w:strike w:val="0"/>
          <w:sz w:val="14"/>
          <w:u w:val="none"/>
        </w:rPr>
        <w:t xml:space="preserve"> </w:t>
      </w:r>
      <w:r>
        <w:rPr>
          <w:b w:val="0"/>
          <w:i w:val="0"/>
          <w:smallCaps w:val="0"/>
          <w:strike w:val="0"/>
          <w:sz w:val="14"/>
          <w:u w:val="none"/>
        </w:rPr>
        <w:t>criminalised</w:t>
      </w:r>
      <w:r>
        <w:rPr>
          <w:b w:val="0"/>
          <w:i w:val="0"/>
          <w:smallCaps w:val="0"/>
          <w:strike w:val="0"/>
          <w:sz w:val="14"/>
          <w:u w:val="none"/>
        </w:rPr>
        <w:t xml:space="preserve"> </w:t>
      </w:r>
      <w:r>
        <w:rPr>
          <w:b w:val="0"/>
          <w:i w:val="0"/>
          <w:smallCaps w:val="0"/>
          <w:strike w:val="0"/>
          <w:sz w:val="22"/>
          <w:highlight w:val="cyan"/>
          <w:u w:val="single"/>
        </w:rPr>
        <w:t>disabled people are situated</w:t>
      </w:r>
      <w:r>
        <w:rPr>
          <w:b w:val="0"/>
          <w:i w:val="0"/>
          <w:smallCaps w:val="0"/>
          <w:strike w:val="0"/>
          <w:sz w:val="14"/>
          <w:u w:val="none"/>
        </w:rPr>
        <w:t xml:space="preserve">” (DCJL 22). </w:t>
      </w:r>
      <w:r>
        <w:rPr>
          <w:b w:val="0"/>
          <w:i w:val="0"/>
          <w:smallCaps w:val="0"/>
          <w:strike w:val="0"/>
          <w:sz w:val="22"/>
          <w:highlight w:val="cyan"/>
          <w:u w:val="single"/>
        </w:rPr>
        <w:t xml:space="preserve">This means </w:t>
      </w:r>
      <w:r>
        <w:rPr>
          <w:b/>
          <w:i w:val="0"/>
          <w:smallCaps w:val="0"/>
          <w:strike w:val="0"/>
          <w:sz w:val="22"/>
          <w:highlight w:val="cyan"/>
          <w:u w:val="single"/>
        </w:rPr>
        <w:t>using legal institutions</w:t>
      </w:r>
      <w:r>
        <w:rPr>
          <w:b w:val="0"/>
          <w:i w:val="0"/>
          <w:smallCaps w:val="0"/>
          <w:strike w:val="0"/>
          <w:sz w:val="22"/>
          <w:highlight w:val="cyan"/>
          <w:u w:val="single"/>
        </w:rPr>
        <w:t xml:space="preserve"> to </w:t>
      </w:r>
      <w:r>
        <w:rPr>
          <w:b/>
          <w:i w:val="0"/>
          <w:smallCaps w:val="0"/>
          <w:strike w:val="0"/>
          <w:sz w:val="22"/>
          <w:highlight w:val="cyan"/>
          <w:u w:val="single"/>
        </w:rPr>
        <w:t>disrupt law’s complicity</w:t>
      </w:r>
      <w:r>
        <w:rPr>
          <w:b w:val="0"/>
          <w:i w:val="0"/>
          <w:smallCaps w:val="0"/>
          <w:strike w:val="0"/>
          <w:sz w:val="14"/>
          <w:u w:val="none"/>
        </w:rPr>
        <w:t xml:space="preserve"> in settler colonialism and ableist and racist injustice, </w:t>
      </w:r>
      <w:r>
        <w:rPr>
          <w:b w:val="0"/>
          <w:i w:val="0"/>
          <w:smallCaps w:val="0"/>
          <w:strike w:val="0"/>
          <w:sz w:val="22"/>
          <w:highlight w:val="cyan"/>
          <w:u w:val="single"/>
        </w:rPr>
        <w:t>and bringing disability</w:t>
      </w:r>
      <w:r>
        <w:rPr>
          <w:b w:val="0"/>
          <w:i w:val="0"/>
          <w:smallCaps w:val="0"/>
          <w:strike w:val="0"/>
          <w:sz w:val="22"/>
          <w:u w:val="single"/>
        </w:rPr>
        <w:t xml:space="preserve"> as a legal and social category </w:t>
      </w:r>
      <w:r>
        <w:rPr>
          <w:b w:val="0"/>
          <w:i w:val="0"/>
          <w:smallCaps w:val="0"/>
          <w:strike w:val="0"/>
          <w:sz w:val="22"/>
          <w:highlight w:val="cyan"/>
          <w:u w:val="single"/>
        </w:rPr>
        <w:t xml:space="preserve">into </w:t>
      </w:r>
      <w:r>
        <w:rPr>
          <w:b/>
          <w:i w:val="0"/>
          <w:smallCaps w:val="0"/>
          <w:strike w:val="0"/>
          <w:sz w:val="22"/>
          <w:highlight w:val="cyan"/>
          <w:u w:val="single"/>
        </w:rPr>
        <w:t>more direct relationship</w:t>
      </w:r>
      <w:r>
        <w:rPr>
          <w:b w:val="0"/>
          <w:i w:val="0"/>
          <w:smallCaps w:val="0"/>
          <w:strike w:val="0"/>
          <w:sz w:val="22"/>
          <w:highlight w:val="cyan"/>
          <w:u w:val="single"/>
        </w:rPr>
        <w:t xml:space="preserve"> with</w:t>
      </w:r>
      <w:r>
        <w:rPr>
          <w:b w:val="0"/>
          <w:i w:val="0"/>
          <w:smallCaps w:val="0"/>
          <w:strike w:val="0"/>
          <w:sz w:val="14"/>
          <w:u w:val="none"/>
        </w:rPr>
        <w:t xml:space="preserve"> projects of Indigenous self-determination and racial justice. Among the initiatives proposed are “community-led support, safety and accountability systems, remedying violence and harm, critical disability approaches to legal pedagogy, </w:t>
      </w:r>
      <w:r>
        <w:rPr>
          <w:b/>
          <w:i w:val="0"/>
          <w:smallCaps w:val="0"/>
          <w:strike w:val="0"/>
          <w:sz w:val="22"/>
          <w:highlight w:val="cyan"/>
          <w:u w:val="single"/>
        </w:rPr>
        <w:t>creative engagement with law reform</w:t>
      </w:r>
      <w:r>
        <w:rPr>
          <w:b w:val="0"/>
          <w:i w:val="0"/>
          <w:smallCaps w:val="0"/>
          <w:strike w:val="0"/>
          <w:sz w:val="14"/>
          <w:u w:val="none"/>
        </w:rPr>
        <w:t>, strategic engagement with human rights, and jurisprudences of disability tracing endurance and evolution in law of degeneracy and the institution” (DCJL 22).</w:t>
      </w:r>
    </w:p>
    <w:p>
      <w:pPr>
        <w:pStyle w:val="Caption"/>
      </w:pPr>
      <w:r>
        <w:t>Source: Disability K Answers - Michigan 2024 CFMP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