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Impact assessment on IP key to determine the impact of overall IP policies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De Beer ‘16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(Faculty of Law, University of Ottawa, “Evidence-Based Intellectual Property Policymaking: An Integrated Review of Methods and Conclusions,” </w:t>
      </w:r>
      <w:r>
        <w:rPr>
          <w:b w:val="0"/>
          <w:i w:val="0"/>
          <w:smallCaps w:val="0"/>
          <w:strike w:val="0"/>
          <w:u w:val="none"/>
        </w:rPr>
        <w:t>pg</w:t>
      </w:r>
      <w:r>
        <w:rPr>
          <w:b w:val="0"/>
          <w:i w:val="0"/>
          <w:smallCaps w:val="0"/>
          <w:strike w:val="0"/>
          <w:u w:val="none"/>
        </w:rPr>
        <w:t xml:space="preserve"> online @ https://onlinelibrary.wiley.com/doi/full/10.1111/jwip.12069 //pa-</w:t>
      </w:r>
      <w:r>
        <w:rPr>
          <w:b w:val="0"/>
          <w:i w:val="0"/>
          <w:smallCaps w:val="0"/>
          <w:strike w:val="0"/>
          <w:u w:val="none"/>
        </w:rPr>
        <w:t>ef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Based on my analysis of the literature, and identification of its gaps and deficiencies, I identify a potential solution to the challenges of assessing the economic impacts of IP. I explore the usefulness of an innovation process framework as a practical means to structure the analysis of the socio-economic implications of IP policy decisions for specific sectors and across the economy. The framework explains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how firms’ intellectual property management decisions at the microeconomic level are affected by IP policy decisions</w:t>
      </w:r>
      <w:r>
        <w:rPr>
          <w:b w:val="0"/>
          <w:i w:val="0"/>
          <w:smallCaps w:val="0"/>
          <w:strike w:val="0"/>
          <w:u w:val="none"/>
        </w:rPr>
        <w:t xml:space="preserve">, and how firm level decisions relate to broader outcomes at the level of a particular industry or innovation system. Most importantly,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framework may help to shift the focus of policymaking from a firm-centric micro-economic perspective to a systemic macro-economic analysis. This is the crucial leap that few if any studies in the existing IP impact assessment literature have made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Such a framework could allow policy makers to investigate how the impacts of their decisions are likely to propagate through the economy</w:t>
      </w:r>
      <w:r>
        <w:rPr>
          <w:b w:val="0"/>
          <w:i w:val="0"/>
          <w:smallCaps w:val="0"/>
          <w:strike w:val="0"/>
          <w:u w:val="none"/>
        </w:rPr>
        <w:t>, and who the winners and losers will be.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