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2 --- </w:t>
      </w:r>
      <w:r>
        <w:rPr>
          <w:b/>
          <w:i w:val="0"/>
          <w:smallCaps w:val="0"/>
          <w:strike w:val="0"/>
          <w:sz w:val="26"/>
          <w:u w:val="none"/>
        </w:rPr>
        <w:t xml:space="preserve">Say no is not a concern --- if the plan fails the </w:t>
      </w:r>
      <w:r>
        <w:rPr>
          <w:b/>
          <w:i w:val="0"/>
          <w:smallCaps w:val="0"/>
          <w:strike w:val="0"/>
          <w:sz w:val="26"/>
          <w:u w:val="none"/>
        </w:rPr>
        <w:t>assessment</w:t>
      </w:r>
      <w:r>
        <w:rPr>
          <w:b/>
          <w:i w:val="0"/>
          <w:smallCaps w:val="0"/>
          <w:strike w:val="0"/>
          <w:sz w:val="26"/>
          <w:u w:val="none"/>
        </w:rPr>
        <w:t xml:space="preserve"> it will be sent in for revisions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Reynolds ‘13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 xml:space="preserve">Graham J. Reynolds University of British Columbia (UBC), Associate Professor, Faculty of Law, </w:t>
      </w:r>
      <w:r>
        <w:rPr>
          <w:b w:val="0"/>
          <w:i w:val="0"/>
          <w:smallCaps w:val="0"/>
          <w:strike w:val="0"/>
          <w:u w:val="none"/>
        </w:rPr>
        <w:t xml:space="preserve">“The Precautionary Principle and its Application in the Intellectual Property Context: Towards a Public Domain Impact Assessment,” </w:t>
      </w:r>
      <w:r>
        <w:rPr>
          <w:b w:val="0"/>
          <w:i w:val="0"/>
          <w:smallCaps w:val="0"/>
          <w:strike w:val="0"/>
          <w:u w:val="none"/>
        </w:rPr>
        <w:t>pg</w:t>
      </w:r>
      <w:r>
        <w:rPr>
          <w:b w:val="0"/>
          <w:i w:val="0"/>
          <w:smallCaps w:val="0"/>
          <w:strike w:val="0"/>
          <w:u w:val="none"/>
        </w:rPr>
        <w:t xml:space="preserve"> online @ https://papers.ssrn.com/sol3/papers.cfm?abstract_id=2347922 //pa-</w:t>
      </w:r>
      <w:r>
        <w:rPr>
          <w:b w:val="0"/>
          <w:i w:val="0"/>
          <w:smallCaps w:val="0"/>
          <w:strike w:val="0"/>
          <w:u w:val="none"/>
        </w:rPr>
        <w:t>ef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A second option that could be pursued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the event that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the PDIA process concludes</w:t>
      </w:r>
      <w:r>
        <w:rPr>
          <w:b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proposed legislative reforms might negatively impact the public domain </w:t>
      </w:r>
      <w:r>
        <w:rPr>
          <w:b/>
          <w:i w:val="0"/>
          <w:smallCaps w:val="0"/>
          <w:strike w:val="0"/>
          <w:sz w:val="22"/>
          <w:u w:val="single"/>
        </w:rPr>
        <w:t xml:space="preserve">beyond a certain threshold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could be to require the legislative body to take steps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mitigate the potential impact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of their proposals on the public domain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One step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that could be taken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 the creation of a body that has the authority to take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certain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steps to mitigate harm that might be done to the public domain should certain legislative reforms be enacted into law.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 body could be given the authority to create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or recommend the creation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additional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defences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 copyright infringement or to grant specific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licences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order to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partially (or completely) offset potential harm to the public domain that might result from the enactment of the proposed intellectual property reforms</w:t>
      </w:r>
      <w:r>
        <w:rPr>
          <w:b w:val="0"/>
          <w:i w:val="0"/>
          <w:smallCaps w:val="0"/>
          <w:strike w:val="0"/>
          <w:sz w:val="12"/>
          <w:u w:val="none"/>
        </w:rPr>
        <w:t>.60 Depending on how this mechanism is structured, democratic legitimacy concerns could arise under this approach, as well.</w:t>
      </w:r>
    </w:p>
    <w:p>
      <w:pPr>
        <w:pStyle w:val="Caption"/>
      </w:pPr>
      <w:r>
        <w:t>Source: PDIA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