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cp raises the public profile of the public domain and creates a RECORD of efforts that harm and benefit the public domain --- spills-over to future IP policy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Reynolds ‘13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Graham J. Reynolds University of British Columbia (UBC), Associate Professor, Faculty of Law, </w:t>
      </w:r>
      <w:r>
        <w:rPr>
          <w:b w:val="0"/>
          <w:i w:val="0"/>
          <w:smallCaps w:val="0"/>
          <w:strike w:val="0"/>
          <w:u w:val="none"/>
        </w:rPr>
        <w:t xml:space="preserve">“The Precautionary Principle and its Application in the Intellectual Property Context: Towards a Public Domain Impact Assessment,” </w:t>
      </w:r>
      <w:r>
        <w:rPr>
          <w:b w:val="0"/>
          <w:i w:val="0"/>
          <w:smallCaps w:val="0"/>
          <w:strike w:val="0"/>
          <w:u w:val="none"/>
        </w:rPr>
        <w:t>pg</w:t>
      </w:r>
      <w:r>
        <w:rPr>
          <w:b w:val="0"/>
          <w:i w:val="0"/>
          <w:smallCaps w:val="0"/>
          <w:strike w:val="0"/>
          <w:u w:val="none"/>
        </w:rPr>
        <w:t xml:space="preserve"> online @ https://papers.ssrn.com/sol3/papers.cfm?abstract_id=2347922 //pa-</w:t>
      </w:r>
      <w:r>
        <w:rPr>
          <w:b w:val="0"/>
          <w:i w:val="0"/>
          <w:smallCaps w:val="0"/>
          <w:strike w:val="0"/>
          <w:u w:val="none"/>
        </w:rPr>
        <w:t>ef</w:t>
      </w:r>
      <w:r>
        <w:rPr>
          <w:b w:val="0"/>
          <w:i w:val="0"/>
          <w:smallCaps w:val="0"/>
          <w:strike w:val="0"/>
          <w:u w:val="none"/>
        </w:rPr>
        <w:t>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the factors noted above may already have been considered by bureaucrats and politicians in the legislative drafting process,58 several advantages flow from formalizing their consideration in a public manner through a PDIA. First, formalizing these factors and mandating their review through a PDIA would ensure that each factor is explicitly considered. Second, formalizing these factors and mandating their review through a PDIA would increase openness and transparency within the legislative process, ensuring that the factors are not simply analyzed by bureaucrats and politicians, but that they are seen, by the </w:t>
      </w:r>
      <w:r>
        <w:rPr>
          <w:b w:val="0"/>
          <w:i w:val="0"/>
          <w:smallCaps w:val="0"/>
          <w:strike w:val="0"/>
          <w:u w:val="none"/>
        </w:rPr>
        <w:t>general public</w:t>
      </w:r>
      <w:r>
        <w:rPr>
          <w:b w:val="0"/>
          <w:i w:val="0"/>
          <w:smallCaps w:val="0"/>
          <w:strike w:val="0"/>
          <w:u w:val="none"/>
        </w:rPr>
        <w:t xml:space="preserve">, to have been analyzed. Third,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formalizing these factors and mandating their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review through a PDIA would create a record of evidence that could be helpful for courts and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others seeking to interpret the legislation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</w:t>
      </w:r>
      <w:r>
        <w:rPr>
          <w:b w:val="0"/>
          <w:i w:val="0"/>
          <w:smallCaps w:val="0"/>
          <w:strike w:val="0"/>
          <w:u w:val="none"/>
        </w:rPr>
        <w:t xml:space="preserve"> record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could also be relied on in future years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seeking to further reform, develop and shape intellectual property legislation and policy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PDIA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