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And,</w:t>
      </w:r>
      <w:r>
        <w:rPr>
          <w:b/>
          <w:i w:val="0"/>
          <w:smallCaps w:val="0"/>
          <w:strike w:val="0"/>
          <w:sz w:val="26"/>
          <w:u w:val="none"/>
        </w:rPr>
        <w:t xml:space="preserve"> transparency is essential to solvency --- have to be open and clear about the process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Leanneau</w:t>
      </w:r>
      <w:r>
        <w:rPr>
          <w:b/>
          <w:i w:val="0"/>
          <w:smallCaps w:val="0"/>
          <w:strike w:val="0"/>
          <w:sz w:val="26"/>
          <w:u w:val="none"/>
        </w:rPr>
        <w:t xml:space="preserve"> ‘21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(Law School, CRDP, University of Paris Nanterre, Nanterre, France, “Regulatory Impact Assessment,” Encyclopedia of Law and Economics,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SpringerLink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 xml:space="preserve">)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Being transparent about all these stages could contribute to a better accountability of regulators</w:t>
      </w:r>
      <w:r>
        <w:rPr>
          <w:b w:val="0"/>
          <w:i w:val="0"/>
          <w:smallCaps w:val="0"/>
          <w:strike w:val="0"/>
          <w:u w:val="none"/>
        </w:rPr>
        <w:t xml:space="preserve"> (since trade-offs are made clear)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to an increased consistency in regulations</w:t>
      </w:r>
      <w:r>
        <w:rPr>
          <w:b w:val="0"/>
          <w:i w:val="0"/>
          <w:smallCaps w:val="0"/>
          <w:strike w:val="0"/>
          <w:u w:val="none"/>
        </w:rPr>
        <w:t xml:space="preserve"> (since the need of a new regulation is explained). Moreover, with experience in RIA, better data and analytical methods should be expected to emerge. RIA is, from this point of view,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learning by doing a process</w:t>
      </w:r>
      <w:r>
        <w:rPr>
          <w:b w:val="0"/>
          <w:i w:val="0"/>
          <w:smallCaps w:val="0"/>
          <w:strike w:val="0"/>
          <w:u w:val="none"/>
        </w:rPr>
        <w:t>. (B) RIA is not only a document (or a set of documents) providing information regarding the expected consequences of a regulation (</w:t>
      </w:r>
      <w:r>
        <w:rPr>
          <w:b w:val="0"/>
          <w:i w:val="0"/>
          <w:smallCaps w:val="0"/>
          <w:strike w:val="0"/>
          <w:u w:val="none"/>
        </w:rPr>
        <w:t>an end result</w:t>
      </w:r>
      <w:r>
        <w:rPr>
          <w:b w:val="0"/>
          <w:i w:val="0"/>
          <w:smallCaps w:val="0"/>
          <w:strike w:val="0"/>
          <w:u w:val="none"/>
        </w:rPr>
        <w:t xml:space="preserve">); it should be conceptualized much more as a process (Adler and Posner 2006). Indeed, as an “end result,” it could be considered as a mere new rhetoric to justify regulatory choices; the hypotheses would then be chosen ex post to justify the desired regulation which will then be submitted to some formal or informal political debate – it is quite often this instrumental use of RIA that is criticized (Renda 2006). Conceptualized as a process, RIA exhibits two interesting features. First, it makes clear that RIA is a way to inquire into a regulatory problem: neither the problem nor its options are facts; they are identified and assessed differently depending on the state of knowledge.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RIA, once made, is then not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end result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but a “first draft” that will evolve with the comments and criticism of stakeholders</w:t>
      </w:r>
      <w:r>
        <w:rPr>
          <w:b w:val="0"/>
          <w:i w:val="0"/>
          <w:smallCaps w:val="0"/>
          <w:strike w:val="0"/>
          <w:u w:val="none"/>
        </w:rPr>
        <w:t>. Second, RIA is not a stage after drafting a regulation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; it should be developed in parallel of it to reduce the likelihood of an instrumental use. This also requires a complete transparency of the process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